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60CA" w14:textId="77777777" w:rsidR="004661A9" w:rsidRPr="00777CB4" w:rsidRDefault="004661A9" w:rsidP="00504C76">
      <w:pPr>
        <w:shd w:val="clear" w:color="auto" w:fill="FFFFFF"/>
        <w:jc w:val="both"/>
        <w:rPr>
          <w:rFonts w:ascii="Bookman Old Style" w:hAnsi="Bookman Old Style"/>
        </w:rPr>
      </w:pPr>
    </w:p>
    <w:p w14:paraId="4CE7D386" w14:textId="77777777" w:rsidR="004661A9" w:rsidRPr="00777CB4" w:rsidRDefault="004661A9" w:rsidP="00504C76">
      <w:pPr>
        <w:jc w:val="center"/>
        <w:rPr>
          <w:rFonts w:ascii="Bookman Old Style" w:hAnsi="Bookman Old Style" w:cstheme="minorBidi"/>
          <w:b/>
          <w:lang w:eastAsia="en-US"/>
        </w:rPr>
      </w:pPr>
      <w:r w:rsidRPr="00777CB4">
        <w:rPr>
          <w:rFonts w:ascii="Bookman Old Style" w:hAnsi="Bookman Old Style" w:cstheme="minorBidi"/>
          <w:noProof/>
        </w:rPr>
        <w:drawing>
          <wp:inline distT="0" distB="0" distL="0" distR="0" wp14:anchorId="6FEB05AC" wp14:editId="264591EB">
            <wp:extent cx="796290" cy="1177127"/>
            <wp:effectExtent l="0" t="0" r="3810" b="4445"/>
            <wp:docPr id="183538270" name="Immagine 23"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490" cy="1183335"/>
                    </a:xfrm>
                    <a:prstGeom prst="rect">
                      <a:avLst/>
                    </a:prstGeom>
                  </pic:spPr>
                </pic:pic>
              </a:graphicData>
            </a:graphic>
          </wp:inline>
        </w:drawing>
      </w:r>
    </w:p>
    <w:p w14:paraId="74AAA1BB" w14:textId="776D1EDE" w:rsidR="004661A9" w:rsidRPr="00777CB4" w:rsidRDefault="004661A9" w:rsidP="00504C76">
      <w:pPr>
        <w:jc w:val="center"/>
        <w:rPr>
          <w:rFonts w:ascii="Bookman Old Style" w:hAnsi="Bookman Old Style" w:cstheme="minorBidi"/>
          <w:b/>
          <w:lang w:eastAsia="en-US"/>
        </w:rPr>
      </w:pPr>
    </w:p>
    <w:p w14:paraId="304614AC" w14:textId="77777777" w:rsidR="00C4181E" w:rsidRPr="00777CB4" w:rsidRDefault="00C4181E" w:rsidP="00504C76">
      <w:pPr>
        <w:jc w:val="center"/>
        <w:rPr>
          <w:rFonts w:ascii="Bookman Old Style" w:hAnsi="Bookman Old Style" w:cstheme="minorBidi"/>
          <w:b/>
          <w:lang w:eastAsia="en-US"/>
        </w:rPr>
      </w:pPr>
    </w:p>
    <w:p w14:paraId="510B6BE8" w14:textId="77777777" w:rsidR="004661A9" w:rsidRPr="00777CB4" w:rsidRDefault="004661A9" w:rsidP="00504C76">
      <w:pPr>
        <w:contextualSpacing/>
        <w:jc w:val="center"/>
        <w:rPr>
          <w:rFonts w:ascii="Bookman Old Style" w:hAnsi="Bookman Old Style" w:cstheme="minorBidi"/>
          <w:b/>
          <w:color w:val="002060"/>
          <w:lang w:eastAsia="en-US"/>
        </w:rPr>
      </w:pPr>
    </w:p>
    <w:p w14:paraId="3E378F8E" w14:textId="426E41BB" w:rsidR="004661A9" w:rsidRPr="00777CB4" w:rsidRDefault="004661A9" w:rsidP="00764A54">
      <w:pPr>
        <w:spacing w:line="360" w:lineRule="auto"/>
        <w:contextualSpacing/>
        <w:jc w:val="center"/>
        <w:rPr>
          <w:rFonts w:ascii="Bookman Old Style" w:hAnsi="Bookman Old Style" w:cstheme="minorBidi"/>
          <w:b/>
          <w:color w:val="002060"/>
          <w:lang w:eastAsia="en-US"/>
        </w:rPr>
      </w:pPr>
      <w:r w:rsidRPr="00777CB4">
        <w:rPr>
          <w:rFonts w:ascii="Bookman Old Style" w:hAnsi="Bookman Old Style" w:cstheme="minorBidi"/>
          <w:b/>
          <w:color w:val="002060"/>
          <w:lang w:eastAsia="en-US"/>
        </w:rPr>
        <w:t xml:space="preserve">NOTA </w:t>
      </w:r>
    </w:p>
    <w:p w14:paraId="748B001E" w14:textId="77777777" w:rsidR="004661A9" w:rsidRPr="00777CB4" w:rsidRDefault="004661A9" w:rsidP="00764A54">
      <w:pPr>
        <w:spacing w:line="360" w:lineRule="auto"/>
        <w:contextualSpacing/>
        <w:jc w:val="center"/>
        <w:rPr>
          <w:rFonts w:ascii="Bookman Old Style" w:hAnsi="Bookman Old Style" w:cstheme="minorBidi"/>
          <w:b/>
          <w:color w:val="002060"/>
          <w:lang w:eastAsia="en-US"/>
        </w:rPr>
      </w:pPr>
    </w:p>
    <w:p w14:paraId="38EAC2A7" w14:textId="08A15464" w:rsidR="004661A9" w:rsidRPr="00777CB4" w:rsidRDefault="00CB5E46" w:rsidP="009A47E8">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Bookman Old Style" w:hAnsi="Bookman Old Style" w:cs="TimesNewRomanPS-BoldMT"/>
          <w:b/>
          <w:bCs/>
          <w:color w:val="002060"/>
          <w:lang w:eastAsia="en-US"/>
        </w:rPr>
      </w:pPr>
      <w:r>
        <w:rPr>
          <w:rFonts w:ascii="Bookman Old Style" w:hAnsi="Bookman Old Style" w:cs="TimesNewRomanPSMT"/>
          <w:b/>
          <w:bCs/>
          <w:color w:val="002060"/>
          <w:lang w:eastAsia="en-US"/>
        </w:rPr>
        <w:t>Legge</w:t>
      </w:r>
      <w:r w:rsidR="00EC654E">
        <w:rPr>
          <w:rFonts w:ascii="Bookman Old Style" w:hAnsi="Bookman Old Style" w:cs="TimesNewRomanPSMT"/>
          <w:b/>
          <w:bCs/>
          <w:color w:val="002060"/>
          <w:lang w:eastAsia="en-US"/>
        </w:rPr>
        <w:t xml:space="preserve"> </w:t>
      </w:r>
      <w:r w:rsidR="00D17FFE" w:rsidRPr="00777CB4">
        <w:rPr>
          <w:rFonts w:ascii="Bookman Old Style" w:hAnsi="Bookman Old Style" w:cs="TimesNewRomanPSMT"/>
          <w:b/>
          <w:bCs/>
          <w:color w:val="002060"/>
          <w:lang w:eastAsia="en-US"/>
        </w:rPr>
        <w:t xml:space="preserve">di conversione del </w:t>
      </w:r>
      <w:r w:rsidR="004661A9" w:rsidRPr="00777CB4">
        <w:rPr>
          <w:rFonts w:ascii="Bookman Old Style" w:hAnsi="Bookman Old Style" w:cs="TimesNewRomanPSMT"/>
          <w:b/>
          <w:bCs/>
          <w:color w:val="002060"/>
          <w:lang w:eastAsia="en-US"/>
        </w:rPr>
        <w:t xml:space="preserve">DECRETO-LEGGE 21 marzo 2022, n. </w:t>
      </w:r>
      <w:proofErr w:type="gramStart"/>
      <w:r w:rsidR="004661A9" w:rsidRPr="00777CB4">
        <w:rPr>
          <w:rFonts w:ascii="Bookman Old Style" w:hAnsi="Bookman Old Style" w:cs="TimesNewRomanPS-BoldMT"/>
          <w:b/>
          <w:bCs/>
          <w:color w:val="002060"/>
          <w:lang w:eastAsia="en-US"/>
        </w:rPr>
        <w:t xml:space="preserve">21 </w:t>
      </w:r>
      <w:r w:rsidR="004661A9" w:rsidRPr="00777CB4">
        <w:rPr>
          <w:rFonts w:ascii="Bookman Old Style" w:hAnsi="Bookman Old Style" w:cs="TimesNewRomanPSMT"/>
          <w:b/>
          <w:bCs/>
          <w:color w:val="002060"/>
          <w:lang w:eastAsia="en-US"/>
        </w:rPr>
        <w:t xml:space="preserve"> recante</w:t>
      </w:r>
      <w:proofErr w:type="gramEnd"/>
      <w:r w:rsidR="004661A9" w:rsidRPr="00777CB4">
        <w:rPr>
          <w:rFonts w:ascii="Bookman Old Style" w:hAnsi="Bookman Old Style" w:cs="TimesNewRomanPSMT"/>
          <w:b/>
          <w:bCs/>
          <w:color w:val="002060"/>
          <w:lang w:eastAsia="en-US"/>
        </w:rPr>
        <w:t xml:space="preserve"> “</w:t>
      </w:r>
      <w:r w:rsidR="004661A9" w:rsidRPr="00777CB4">
        <w:rPr>
          <w:rFonts w:ascii="Bookman Old Style" w:hAnsi="Bookman Old Style" w:cs="TimesNewRomanPS-BoldMT"/>
          <w:b/>
          <w:bCs/>
          <w:i/>
          <w:iCs/>
          <w:color w:val="002060"/>
          <w:lang w:eastAsia="en-US"/>
        </w:rPr>
        <w:t>Misure urgenti per contrastare gli effetti economici e umanitari della crisi ucraina</w:t>
      </w:r>
      <w:r w:rsidR="004661A9" w:rsidRPr="00777CB4">
        <w:rPr>
          <w:rFonts w:ascii="Bookman Old Style" w:hAnsi="Bookman Old Style" w:cs="TimesNewRomanPS-BoldMT"/>
          <w:b/>
          <w:bCs/>
          <w:color w:val="002060"/>
          <w:lang w:eastAsia="en-US"/>
        </w:rPr>
        <w:t>”.</w:t>
      </w:r>
    </w:p>
    <w:p w14:paraId="43CD9446" w14:textId="40BE0FBB" w:rsidR="00C4181E" w:rsidRPr="00777CB4" w:rsidRDefault="00C4181E" w:rsidP="00504C76">
      <w:pPr>
        <w:autoSpaceDE w:val="0"/>
        <w:autoSpaceDN w:val="0"/>
        <w:adjustRightInd w:val="0"/>
        <w:jc w:val="center"/>
        <w:rPr>
          <w:rFonts w:ascii="Bookman Old Style" w:hAnsi="Bookman Old Style" w:cs="TimesNewRomanPS-BoldMT"/>
          <w:b/>
          <w:bCs/>
          <w:color w:val="002060"/>
          <w:lang w:eastAsia="en-US"/>
        </w:rPr>
      </w:pPr>
    </w:p>
    <w:p w14:paraId="566E4BA7" w14:textId="77777777" w:rsidR="00C4181E" w:rsidRPr="00777CB4" w:rsidRDefault="00C4181E" w:rsidP="00504C76">
      <w:pPr>
        <w:autoSpaceDE w:val="0"/>
        <w:autoSpaceDN w:val="0"/>
        <w:adjustRightInd w:val="0"/>
        <w:jc w:val="both"/>
        <w:rPr>
          <w:rFonts w:ascii="Bookman Old Style" w:hAnsi="Bookman Old Style" w:cstheme="minorBidi"/>
          <w:b/>
          <w:bCs/>
          <w:lang w:eastAsia="en-US"/>
        </w:rPr>
      </w:pPr>
    </w:p>
    <w:p w14:paraId="213A4395" w14:textId="77777777" w:rsidR="004661A9" w:rsidRPr="00777CB4" w:rsidRDefault="004661A9" w:rsidP="00504C76">
      <w:pPr>
        <w:contextualSpacing/>
        <w:jc w:val="both"/>
        <w:rPr>
          <w:rFonts w:ascii="Bookman Old Style" w:hAnsi="Bookman Old Style" w:cs="Times New Roman"/>
          <w:b/>
          <w:bCs/>
          <w:lang w:eastAsia="en-US"/>
        </w:rPr>
      </w:pPr>
    </w:p>
    <w:p w14:paraId="533F6679" w14:textId="64A34ED2" w:rsidR="004661A9" w:rsidRPr="00777CB4" w:rsidRDefault="004661A9" w:rsidP="00504C76">
      <w:pPr>
        <w:contextualSpacing/>
        <w:jc w:val="both"/>
        <w:rPr>
          <w:rFonts w:ascii="Bookman Old Style" w:hAnsi="Bookman Old Style" w:cs="Times New Roman"/>
          <w:b/>
          <w:bCs/>
          <w:color w:val="002060"/>
          <w:lang w:eastAsia="en-US"/>
        </w:rPr>
      </w:pPr>
      <w:r w:rsidRPr="00777CB4">
        <w:rPr>
          <w:rFonts w:ascii="Bookman Old Style" w:hAnsi="Bookman Old Style" w:cs="Times New Roman"/>
          <w:b/>
          <w:bCs/>
          <w:color w:val="002060"/>
          <w:lang w:eastAsia="en-US"/>
        </w:rPr>
        <w:t>PREMESSA</w:t>
      </w:r>
    </w:p>
    <w:p w14:paraId="6813C14D" w14:textId="77777777" w:rsidR="007C510D" w:rsidRPr="00777CB4" w:rsidRDefault="007C510D" w:rsidP="00504C76">
      <w:pPr>
        <w:contextualSpacing/>
        <w:jc w:val="both"/>
        <w:rPr>
          <w:rFonts w:ascii="Bookman Old Style" w:hAnsi="Bookman Old Style" w:cs="Times New Roman"/>
          <w:b/>
          <w:bCs/>
          <w:lang w:eastAsia="en-US"/>
        </w:rPr>
      </w:pPr>
    </w:p>
    <w:p w14:paraId="589DB90A" w14:textId="3D56DC12" w:rsidR="00060FB9" w:rsidRPr="00777CB4" w:rsidRDefault="00CB5E46" w:rsidP="00CB5E46">
      <w:pPr>
        <w:autoSpaceDE w:val="0"/>
        <w:autoSpaceDN w:val="0"/>
        <w:adjustRightInd w:val="0"/>
        <w:jc w:val="both"/>
        <w:rPr>
          <w:rFonts w:ascii="Bookman Old Style" w:hAnsi="Bookman Old Style" w:cstheme="minorBidi"/>
          <w:lang w:eastAsia="en-US"/>
        </w:rPr>
      </w:pPr>
      <w:proofErr w:type="gramStart"/>
      <w:r>
        <w:rPr>
          <w:rFonts w:ascii="Bookman Old Style" w:hAnsi="Bookman Old Style" w:cstheme="minorBidi"/>
          <w:lang w:eastAsia="en-US"/>
        </w:rPr>
        <w:t xml:space="preserve">La </w:t>
      </w:r>
      <w:r w:rsidR="00D17FFE" w:rsidRPr="00777CB4">
        <w:rPr>
          <w:rFonts w:ascii="Bookman Old Style" w:hAnsi="Bookman Old Style" w:cstheme="minorBidi"/>
          <w:lang w:eastAsia="en-US"/>
        </w:rPr>
        <w:t xml:space="preserve"> legge</w:t>
      </w:r>
      <w:proofErr w:type="gramEnd"/>
      <w:r w:rsidR="00D17FFE" w:rsidRPr="00777CB4">
        <w:rPr>
          <w:rFonts w:ascii="Bookman Old Style" w:hAnsi="Bookman Old Style" w:cstheme="minorBidi"/>
          <w:lang w:eastAsia="en-US"/>
        </w:rPr>
        <w:t xml:space="preserve"> </w:t>
      </w:r>
      <w:r w:rsidR="00EC654E">
        <w:rPr>
          <w:rFonts w:ascii="Bookman Old Style" w:hAnsi="Bookman Old Style" w:cstheme="minorBidi"/>
          <w:lang w:eastAsia="en-US"/>
        </w:rPr>
        <w:t>d</w:t>
      </w:r>
      <w:r w:rsidR="00D17FFE" w:rsidRPr="00777CB4">
        <w:rPr>
          <w:rFonts w:ascii="Bookman Old Style" w:hAnsi="Bookman Old Style" w:cstheme="minorBidi"/>
          <w:lang w:eastAsia="en-US"/>
        </w:rPr>
        <w:t xml:space="preserve">i conversione del </w:t>
      </w:r>
      <w:r w:rsidR="004661A9" w:rsidRPr="00777CB4">
        <w:rPr>
          <w:rFonts w:ascii="Bookman Old Style" w:hAnsi="Bookman Old Style" w:cs="TimesNewRomanPSMT"/>
          <w:lang w:eastAsia="en-US"/>
        </w:rPr>
        <w:t xml:space="preserve">decreto-legge 21 marzo 2022, n. </w:t>
      </w:r>
      <w:r w:rsidR="004661A9" w:rsidRPr="00777CB4">
        <w:rPr>
          <w:rFonts w:ascii="Bookman Old Style" w:hAnsi="Bookman Old Style" w:cs="TimesNewRomanPS-BoldMT"/>
          <w:lang w:eastAsia="en-US"/>
        </w:rPr>
        <w:t xml:space="preserve">21 </w:t>
      </w:r>
      <w:r w:rsidR="004661A9" w:rsidRPr="00777CB4">
        <w:rPr>
          <w:rFonts w:ascii="Bookman Old Style" w:hAnsi="Bookman Old Style" w:cs="TimesNewRomanPSMT"/>
          <w:lang w:eastAsia="en-US"/>
        </w:rPr>
        <w:t>recante “</w:t>
      </w:r>
      <w:r w:rsidR="004661A9" w:rsidRPr="00777CB4">
        <w:rPr>
          <w:rFonts w:ascii="Bookman Old Style" w:hAnsi="Bookman Old Style" w:cs="TimesNewRomanPS-BoldMT"/>
          <w:i/>
          <w:iCs/>
          <w:lang w:eastAsia="en-US"/>
        </w:rPr>
        <w:t>Misure urgenti per contrastare gli effetti economici e umanitari della crisi ucraina</w:t>
      </w:r>
      <w:r w:rsidR="004661A9" w:rsidRPr="00777CB4">
        <w:rPr>
          <w:rFonts w:ascii="Bookman Old Style" w:hAnsi="Bookman Old Style" w:cs="TimesNewRomanPS-BoldMT"/>
          <w:lang w:eastAsia="en-US"/>
        </w:rPr>
        <w:t>” è stat</w:t>
      </w:r>
      <w:r>
        <w:rPr>
          <w:rFonts w:ascii="Bookman Old Style" w:hAnsi="Bookman Old Style" w:cs="TimesNewRomanPS-BoldMT"/>
          <w:lang w:eastAsia="en-US"/>
        </w:rPr>
        <w:t>a</w:t>
      </w:r>
      <w:r w:rsidR="004661A9" w:rsidRPr="00777CB4">
        <w:rPr>
          <w:rFonts w:ascii="Bookman Old Style" w:hAnsi="Bookman Old Style" w:cs="TimesNewRomanPS-BoldMT"/>
          <w:lang w:eastAsia="en-US"/>
        </w:rPr>
        <w:t xml:space="preserve"> </w:t>
      </w:r>
      <w:r w:rsidR="00477359" w:rsidRPr="00777CB4">
        <w:rPr>
          <w:rFonts w:ascii="Bookman Old Style" w:hAnsi="Bookman Old Style" w:cs="TimesNewRomanPS-BoldMT"/>
          <w:lang w:eastAsia="en-US"/>
        </w:rPr>
        <w:t>approvat</w:t>
      </w:r>
      <w:r>
        <w:rPr>
          <w:rFonts w:ascii="Bookman Old Style" w:hAnsi="Bookman Old Style" w:cs="TimesNewRomanPS-BoldMT"/>
          <w:lang w:eastAsia="en-US"/>
        </w:rPr>
        <w:t>a</w:t>
      </w:r>
      <w:r w:rsidR="00477359" w:rsidRPr="00777CB4">
        <w:rPr>
          <w:rFonts w:ascii="Bookman Old Style" w:hAnsi="Bookman Old Style" w:cs="TimesNewRomanPS-BoldMT"/>
          <w:lang w:eastAsia="en-US"/>
        </w:rPr>
        <w:t xml:space="preserve"> </w:t>
      </w:r>
      <w:r w:rsidR="00717736">
        <w:rPr>
          <w:rFonts w:ascii="Bookman Old Style" w:hAnsi="Bookman Old Style" w:cs="TimesNewRomanPS-BoldMT"/>
          <w:lang w:eastAsia="en-US"/>
        </w:rPr>
        <w:t>definitivamente dalla Camera dei deputati il</w:t>
      </w:r>
      <w:r w:rsidR="00EC654E">
        <w:rPr>
          <w:rFonts w:ascii="Bookman Old Style" w:hAnsi="Bookman Old Style" w:cs="TimesNewRomanPS-BoldMT"/>
          <w:lang w:eastAsia="en-US"/>
        </w:rPr>
        <w:t xml:space="preserve"> 19 maggio 2022 e deve essere ora </w:t>
      </w:r>
      <w:r w:rsidR="00B0366D">
        <w:rPr>
          <w:rFonts w:ascii="Bookman Old Style" w:hAnsi="Bookman Old Style" w:cs="TimesNewRomanPS-BoldMT"/>
          <w:lang w:eastAsia="en-US"/>
        </w:rPr>
        <w:t>pubblicata</w:t>
      </w:r>
      <w:r w:rsidR="00720C3E">
        <w:rPr>
          <w:rFonts w:ascii="Bookman Old Style" w:hAnsi="Bookman Old Style" w:cs="TimesNewRomanPS-BoldMT"/>
          <w:lang w:eastAsia="en-US"/>
        </w:rPr>
        <w:t xml:space="preserve"> </w:t>
      </w:r>
      <w:r w:rsidR="00EC654E">
        <w:rPr>
          <w:rFonts w:ascii="Bookman Old Style" w:hAnsi="Bookman Old Style" w:cs="TimesNewRomanPS-BoldMT"/>
          <w:lang w:eastAsia="en-US"/>
        </w:rPr>
        <w:t>in Gazzetta Ufficiale.</w:t>
      </w:r>
    </w:p>
    <w:p w14:paraId="04574299" w14:textId="5EDC3F1E" w:rsidR="004D523C" w:rsidRPr="00777CB4" w:rsidRDefault="004661A9" w:rsidP="00504C76">
      <w:pPr>
        <w:jc w:val="both"/>
        <w:rPr>
          <w:rFonts w:ascii="Bookman Old Style" w:hAnsi="Bookman Old Style" w:cstheme="minorBidi"/>
          <w:lang w:eastAsia="en-US"/>
        </w:rPr>
      </w:pPr>
      <w:r w:rsidRPr="00777CB4">
        <w:rPr>
          <w:rFonts w:ascii="Bookman Old Style" w:hAnsi="Bookman Old Style" w:cstheme="minorBidi"/>
          <w:lang w:eastAsia="en-US"/>
        </w:rPr>
        <w:t>Si riporta di seguito un</w:t>
      </w:r>
      <w:r w:rsidR="004E77E9" w:rsidRPr="00777CB4">
        <w:rPr>
          <w:rFonts w:ascii="Bookman Old Style" w:hAnsi="Bookman Old Style" w:cstheme="minorBidi"/>
          <w:lang w:eastAsia="en-US"/>
        </w:rPr>
        <w:t xml:space="preserve">a nota </w:t>
      </w:r>
      <w:r w:rsidRPr="00777CB4">
        <w:rPr>
          <w:rFonts w:ascii="Bookman Old Style" w:hAnsi="Bookman Old Style" w:cstheme="minorBidi"/>
          <w:lang w:eastAsia="en-US"/>
        </w:rPr>
        <w:t>sulle norme di interesse di Comu</w:t>
      </w:r>
      <w:r w:rsidR="00877B5D" w:rsidRPr="00777CB4">
        <w:rPr>
          <w:rFonts w:ascii="Bookman Old Style" w:hAnsi="Bookman Old Style" w:cstheme="minorBidi"/>
          <w:lang w:eastAsia="en-US"/>
        </w:rPr>
        <w:t>ni</w:t>
      </w:r>
      <w:r w:rsidR="005C4C7D" w:rsidRPr="00777CB4">
        <w:rPr>
          <w:rFonts w:ascii="Bookman Old Style" w:hAnsi="Bookman Old Style" w:cstheme="minorBidi"/>
          <w:lang w:eastAsia="en-US"/>
        </w:rPr>
        <w:t xml:space="preserve"> e Città metropolitane</w:t>
      </w:r>
      <w:r w:rsidR="00877B5D" w:rsidRPr="00777CB4">
        <w:rPr>
          <w:rFonts w:ascii="Bookman Old Style" w:hAnsi="Bookman Old Style" w:cstheme="minorBidi"/>
          <w:lang w:eastAsia="en-US"/>
        </w:rPr>
        <w:t>.</w:t>
      </w:r>
    </w:p>
    <w:p w14:paraId="52CBCFAD" w14:textId="4E8AA766" w:rsidR="004661A9" w:rsidRPr="00777CB4" w:rsidRDefault="004661A9" w:rsidP="00504C76">
      <w:pPr>
        <w:jc w:val="both"/>
        <w:rPr>
          <w:rFonts w:ascii="Bookman Old Style" w:hAnsi="Bookman Old Style" w:cstheme="minorBidi"/>
          <w:b/>
          <w:bCs/>
          <w:lang w:eastAsia="en-US"/>
        </w:rPr>
      </w:pPr>
    </w:p>
    <w:p w14:paraId="72DFD08D" w14:textId="77777777" w:rsidR="000274C7" w:rsidRPr="00777CB4" w:rsidRDefault="000274C7" w:rsidP="00504C76">
      <w:pPr>
        <w:jc w:val="both"/>
        <w:rPr>
          <w:rFonts w:ascii="Bookman Old Style" w:eastAsia="Times New Roman" w:hAnsi="Bookman Old Style"/>
          <w:color w:val="002060"/>
        </w:rPr>
      </w:pPr>
    </w:p>
    <w:p w14:paraId="71425E3C" w14:textId="04F4B0FD" w:rsidR="00877B5D" w:rsidRPr="00777CB4" w:rsidRDefault="00877B5D" w:rsidP="00877B5D">
      <w:pPr>
        <w:jc w:val="both"/>
        <w:rPr>
          <w:rFonts w:ascii="Bookman Old Style" w:hAnsi="Bookman Old Style"/>
          <w:b/>
          <w:bCs/>
          <w:color w:val="002060"/>
        </w:rPr>
      </w:pPr>
      <w:r w:rsidRPr="00777CB4">
        <w:rPr>
          <w:rFonts w:ascii="Bookman Old Style" w:hAnsi="Bookman Old Style"/>
          <w:b/>
          <w:bCs/>
          <w:color w:val="002060"/>
        </w:rPr>
        <w:t xml:space="preserve">DISPOSIZIONI DI FINANZA LOCALE </w:t>
      </w:r>
    </w:p>
    <w:p w14:paraId="63ED861F" w14:textId="77777777" w:rsidR="0004311F" w:rsidRPr="00777CB4" w:rsidRDefault="0004311F" w:rsidP="0004311F">
      <w:pPr>
        <w:jc w:val="both"/>
        <w:rPr>
          <w:rFonts w:ascii="Bookman Old Style" w:hAnsi="Bookman Old Style"/>
          <w:b/>
          <w:bCs/>
          <w:color w:val="002060"/>
        </w:rPr>
      </w:pPr>
    </w:p>
    <w:p w14:paraId="59F35397" w14:textId="77777777" w:rsidR="0004311F" w:rsidRPr="00777CB4" w:rsidRDefault="0004311F" w:rsidP="0004311F">
      <w:pPr>
        <w:pStyle w:val="Paragrafoelenco"/>
        <w:numPr>
          <w:ilvl w:val="0"/>
          <w:numId w:val="3"/>
        </w:numPr>
        <w:jc w:val="both"/>
        <w:rPr>
          <w:rFonts w:ascii="Bookman Old Style" w:eastAsiaTheme="majorEastAsia" w:hAnsi="Bookman Old Style" w:cstheme="majorBidi"/>
          <w:b/>
          <w:bCs/>
          <w:i/>
          <w:iCs/>
          <w:color w:val="002060"/>
        </w:rPr>
      </w:pPr>
      <w:bookmarkStart w:id="0" w:name="_Toc103003671"/>
      <w:r w:rsidRPr="00777CB4">
        <w:rPr>
          <w:rStyle w:val="Titolo2Carattere"/>
          <w:rFonts w:ascii="Bookman Old Style" w:hAnsi="Bookman Old Style"/>
          <w:b/>
          <w:bCs/>
          <w:i/>
          <w:iCs/>
          <w:color w:val="002060"/>
          <w:sz w:val="22"/>
          <w:szCs w:val="22"/>
        </w:rPr>
        <w:t xml:space="preserve">Rettifica degli allegati del rendiconto 2021 concernenti il risultato di amministrazione e l’elenco analitico delle risorse vincolate nel risultato di amministrazione degli enti locali </w:t>
      </w:r>
      <w:r w:rsidRPr="00777CB4">
        <w:rPr>
          <w:rFonts w:ascii="Bookman Old Style" w:eastAsia="Times New Roman" w:hAnsi="Bookman Old Style"/>
          <w:b/>
          <w:bCs/>
          <w:i/>
          <w:iCs/>
          <w:color w:val="002060"/>
        </w:rPr>
        <w:t>(Art. 37 bis)</w:t>
      </w:r>
    </w:p>
    <w:p w14:paraId="66DABD1E" w14:textId="77777777" w:rsidR="0004311F" w:rsidRPr="00777CB4" w:rsidRDefault="0004311F" w:rsidP="0004311F">
      <w:pPr>
        <w:jc w:val="both"/>
        <w:rPr>
          <w:rStyle w:val="Titolo2Carattere"/>
          <w:rFonts w:ascii="Bookman Old Style" w:hAnsi="Bookman Old Style"/>
          <w:sz w:val="22"/>
          <w:szCs w:val="22"/>
        </w:rPr>
      </w:pPr>
    </w:p>
    <w:bookmarkEnd w:id="0"/>
    <w:p w14:paraId="47574F9D" w14:textId="5B8B7063" w:rsidR="0004311F" w:rsidRPr="00777CB4" w:rsidRDefault="0004311F" w:rsidP="0004311F">
      <w:pPr>
        <w:jc w:val="both"/>
        <w:rPr>
          <w:rFonts w:ascii="Bookman Old Style" w:hAnsi="Bookman Old Style"/>
        </w:rPr>
      </w:pPr>
      <w:r w:rsidRPr="001D5972">
        <w:rPr>
          <w:rFonts w:ascii="Bookman Old Style" w:eastAsia="Times New Roman" w:hAnsi="Bookman Old Style"/>
        </w:rPr>
        <w:t>La norma</w:t>
      </w:r>
      <w:r w:rsidRPr="00777CB4">
        <w:rPr>
          <w:rFonts w:ascii="Bookman Old Style" w:eastAsia="Times New Roman" w:hAnsi="Bookman Old Style"/>
          <w:b/>
          <w:bCs/>
        </w:rPr>
        <w:t xml:space="preserve"> </w:t>
      </w:r>
      <w:r w:rsidRPr="00777CB4">
        <w:rPr>
          <w:rFonts w:ascii="Bookman Old Style" w:eastAsia="Times New Roman" w:hAnsi="Bookman Old Style"/>
        </w:rPr>
        <w:t xml:space="preserve">assegna </w:t>
      </w:r>
      <w:r w:rsidRPr="00777CB4">
        <w:rPr>
          <w:rFonts w:ascii="Bookman Old Style" w:hAnsi="Bookman Old Style"/>
        </w:rPr>
        <w:t xml:space="preserve">al </w:t>
      </w:r>
      <w:r w:rsidRPr="00777CB4">
        <w:rPr>
          <w:rFonts w:ascii="Bookman Old Style" w:hAnsi="Bookman Old Style"/>
          <w:b/>
          <w:bCs/>
        </w:rPr>
        <w:t xml:space="preserve">responsabile del servizio finanziario </w:t>
      </w:r>
      <w:r w:rsidRPr="00777CB4">
        <w:rPr>
          <w:rFonts w:ascii="Bookman Old Style" w:hAnsi="Bookman Old Style"/>
        </w:rPr>
        <w:t xml:space="preserve">– in luogo del consiglio dell’ente locale </w:t>
      </w:r>
      <w:r w:rsidRPr="00777CB4">
        <w:rPr>
          <w:rFonts w:ascii="Bookman Old Style" w:hAnsi="Bookman Old Style"/>
          <w:b/>
          <w:bCs/>
        </w:rPr>
        <w:t xml:space="preserve">– </w:t>
      </w:r>
      <w:r w:rsidRPr="00777CB4">
        <w:rPr>
          <w:rFonts w:ascii="Bookman Old Style" w:hAnsi="Bookman Old Style"/>
        </w:rPr>
        <w:t xml:space="preserve">previo parere dell’organo di revisione economico-finanziario, la competenza a predisporre il provvedimento di </w:t>
      </w:r>
      <w:r w:rsidRPr="00777CB4">
        <w:rPr>
          <w:rFonts w:ascii="Bookman Old Style" w:hAnsi="Bookman Old Style"/>
          <w:b/>
          <w:bCs/>
        </w:rPr>
        <w:t xml:space="preserve">rettifica </w:t>
      </w:r>
      <w:r w:rsidRPr="00777CB4">
        <w:rPr>
          <w:rFonts w:ascii="Bookman Old Style" w:hAnsi="Bookman Old Style"/>
        </w:rPr>
        <w:t xml:space="preserve">dei </w:t>
      </w:r>
      <w:r w:rsidRPr="00777CB4">
        <w:rPr>
          <w:rFonts w:ascii="Bookman Old Style" w:hAnsi="Bookman Old Style"/>
          <w:b/>
          <w:bCs/>
        </w:rPr>
        <w:t xml:space="preserve">documenti contabili allegati al rendiconto </w:t>
      </w:r>
      <w:r w:rsidRPr="00777CB4">
        <w:rPr>
          <w:rFonts w:ascii="Bookman Old Style" w:hAnsi="Bookman Old Style"/>
        </w:rPr>
        <w:t xml:space="preserve">di gestione relativo all’esercizio 2021 – in particolare, quelli concernenti il risultato di amministrazione (allegato a) e l’elenco analitico delle risorse vincolate nel risultato di amministrazione (allegato a/2)129 – al fine di adeguarli alle </w:t>
      </w:r>
      <w:r w:rsidRPr="00777CB4">
        <w:rPr>
          <w:rFonts w:ascii="Bookman Old Style" w:hAnsi="Bookman Old Style"/>
          <w:b/>
          <w:bCs/>
        </w:rPr>
        <w:t xml:space="preserve">risultanze della certificazione attestante la effettiva perdita di gettito </w:t>
      </w:r>
      <w:r w:rsidRPr="00777CB4">
        <w:rPr>
          <w:rFonts w:ascii="Bookman Old Style" w:hAnsi="Bookman Old Style"/>
        </w:rPr>
        <w:t xml:space="preserve">connessa all'emergenza epidemiologica da COVID-19, che gli enti locali sono tenuti a presentare al MEF entro </w:t>
      </w:r>
      <w:r w:rsidR="00A74B10">
        <w:rPr>
          <w:rFonts w:ascii="Bookman Old Style" w:hAnsi="Bookman Old Style"/>
        </w:rPr>
        <w:t>il 31 maggio 2022 (</w:t>
      </w:r>
      <w:r w:rsidRPr="00777CB4">
        <w:rPr>
          <w:rFonts w:ascii="Bookman Old Style" w:hAnsi="Bookman Old Style"/>
        </w:rPr>
        <w:t>art</w:t>
      </w:r>
      <w:r w:rsidR="00A74B10">
        <w:rPr>
          <w:rFonts w:ascii="Bookman Old Style" w:hAnsi="Bookman Old Style"/>
        </w:rPr>
        <w:t xml:space="preserve">. </w:t>
      </w:r>
      <w:r w:rsidRPr="00777CB4">
        <w:rPr>
          <w:rFonts w:ascii="Bookman Old Style" w:hAnsi="Bookman Old Style"/>
        </w:rPr>
        <w:t>39, comma 2, del D.L. n. 104/2020</w:t>
      </w:r>
      <w:r w:rsidR="00A74B10">
        <w:rPr>
          <w:rFonts w:ascii="Bookman Old Style" w:hAnsi="Bookman Old Style"/>
        </w:rPr>
        <w:t>)</w:t>
      </w:r>
      <w:r w:rsidRPr="00777CB4">
        <w:rPr>
          <w:rFonts w:ascii="Bookman Old Style" w:hAnsi="Bookman Old Style"/>
        </w:rPr>
        <w:t>.</w:t>
      </w:r>
    </w:p>
    <w:p w14:paraId="7B961E5C" w14:textId="77777777" w:rsidR="0004311F" w:rsidRPr="00777CB4" w:rsidRDefault="0004311F" w:rsidP="0004311F">
      <w:pPr>
        <w:jc w:val="both"/>
        <w:rPr>
          <w:rFonts w:ascii="Bookman Old Style" w:hAnsi="Bookman Old Style"/>
        </w:rPr>
      </w:pPr>
      <w:r w:rsidRPr="00777CB4">
        <w:rPr>
          <w:rFonts w:ascii="Bookman Old Style" w:hAnsi="Bookman Old Style"/>
        </w:rPr>
        <w:t>Qualora risulti necessario rettificare anche il valore complessivo del risultato di amministrazione, il provvedimento rimane di competenza dell'organo consiliare, previo parere dell'organo di revisione economico-finanziario.</w:t>
      </w:r>
    </w:p>
    <w:p w14:paraId="4917B7F1" w14:textId="77777777" w:rsidR="0004311F" w:rsidRPr="00777CB4" w:rsidRDefault="0004311F" w:rsidP="0004311F">
      <w:pPr>
        <w:jc w:val="both"/>
        <w:rPr>
          <w:rFonts w:ascii="Bookman Old Style" w:hAnsi="Bookman Old Style"/>
        </w:rPr>
      </w:pPr>
    </w:p>
    <w:p w14:paraId="509190A5" w14:textId="0471CECE" w:rsidR="009F3A4A" w:rsidRPr="00777CB4" w:rsidRDefault="009F3A4A" w:rsidP="009F3A4A">
      <w:pPr>
        <w:pStyle w:val="Paragrafoelenco"/>
        <w:numPr>
          <w:ilvl w:val="0"/>
          <w:numId w:val="3"/>
        </w:numPr>
        <w:jc w:val="both"/>
        <w:rPr>
          <w:rFonts w:ascii="Bookman Old Style" w:eastAsia="Times New Roman" w:hAnsi="Bookman Old Style"/>
          <w:b/>
          <w:bCs/>
          <w:i/>
          <w:iCs/>
          <w:color w:val="002060"/>
        </w:rPr>
      </w:pPr>
      <w:r w:rsidRPr="00777CB4">
        <w:rPr>
          <w:rStyle w:val="Titolo2Carattere"/>
          <w:rFonts w:ascii="Bookman Old Style" w:hAnsi="Bookman Old Style"/>
          <w:b/>
          <w:bCs/>
          <w:i/>
          <w:iCs/>
          <w:color w:val="002060"/>
          <w:sz w:val="22"/>
          <w:szCs w:val="22"/>
        </w:rPr>
        <w:t>Utilizzo avanzi di amministrazione per copertura maggiori oneri derivanti dalle spese per l’energia</w:t>
      </w:r>
      <w:r w:rsidRPr="00777CB4">
        <w:rPr>
          <w:rFonts w:ascii="Bookman Old Style" w:eastAsia="Times New Roman" w:hAnsi="Bookman Old Style"/>
          <w:b/>
          <w:bCs/>
          <w:i/>
          <w:iCs/>
          <w:color w:val="002060"/>
        </w:rPr>
        <w:t xml:space="preserve"> (Art. 37 </w:t>
      </w:r>
      <w:r w:rsidR="0004311F" w:rsidRPr="00777CB4">
        <w:rPr>
          <w:rFonts w:ascii="Bookman Old Style" w:eastAsia="Times New Roman" w:hAnsi="Bookman Old Style"/>
          <w:b/>
          <w:bCs/>
          <w:i/>
          <w:iCs/>
          <w:color w:val="002060"/>
        </w:rPr>
        <w:t>ter</w:t>
      </w:r>
      <w:r w:rsidRPr="00777CB4">
        <w:rPr>
          <w:rFonts w:ascii="Bookman Old Style" w:eastAsia="Times New Roman" w:hAnsi="Bookman Old Style"/>
          <w:b/>
          <w:bCs/>
          <w:i/>
          <w:iCs/>
          <w:color w:val="002060"/>
        </w:rPr>
        <w:t>)</w:t>
      </w:r>
    </w:p>
    <w:p w14:paraId="7B66E1AE" w14:textId="77777777" w:rsidR="009F3A4A" w:rsidRPr="00777CB4" w:rsidRDefault="009F3A4A" w:rsidP="009F3A4A">
      <w:pPr>
        <w:jc w:val="both"/>
        <w:rPr>
          <w:rFonts w:ascii="Bookman Old Style" w:hAnsi="Bookman Old Style"/>
          <w:highlight w:val="yellow"/>
        </w:rPr>
      </w:pPr>
    </w:p>
    <w:p w14:paraId="603CB5B7" w14:textId="61951FE7" w:rsidR="009F3A4A" w:rsidRPr="00777CB4" w:rsidRDefault="001D5972" w:rsidP="00357B06">
      <w:pPr>
        <w:pStyle w:val="xmsolistparagraph"/>
        <w:autoSpaceDE w:val="0"/>
        <w:autoSpaceDN w:val="0"/>
        <w:ind w:left="0"/>
        <w:jc w:val="both"/>
        <w:rPr>
          <w:rFonts w:ascii="Bookman Old Style" w:hAnsi="Bookman Old Style"/>
        </w:rPr>
      </w:pPr>
      <w:r>
        <w:rPr>
          <w:rFonts w:ascii="Bookman Old Style" w:eastAsia="Times New Roman" w:hAnsi="Bookman Old Style"/>
          <w:b/>
          <w:bCs/>
        </w:rPr>
        <w:t xml:space="preserve">L’articolo approvato </w:t>
      </w:r>
      <w:r w:rsidR="009F3A4A" w:rsidRPr="00777CB4">
        <w:rPr>
          <w:rFonts w:ascii="Bookman Old Style" w:eastAsia="Times New Roman" w:hAnsi="Bookman Old Style"/>
          <w:b/>
          <w:bCs/>
        </w:rPr>
        <w:t>su richiesta dell’ANCI</w:t>
      </w:r>
      <w:r w:rsidR="009F3A4A" w:rsidRPr="00777CB4">
        <w:rPr>
          <w:rFonts w:ascii="Bookman Old Style" w:eastAsia="Times New Roman" w:hAnsi="Bookman Old Style"/>
        </w:rPr>
        <w:t xml:space="preserve"> </w:t>
      </w:r>
      <w:r w:rsidR="00E26353" w:rsidRPr="00777CB4">
        <w:rPr>
          <w:rFonts w:ascii="Bookman Old Style" w:eastAsia="Times New Roman" w:hAnsi="Bookman Old Style"/>
        </w:rPr>
        <w:t>stabilisce che</w:t>
      </w:r>
      <w:r w:rsidR="00357B06" w:rsidRPr="00777CB4">
        <w:rPr>
          <w:rFonts w:ascii="Bookman Old Style" w:hAnsi="Bookman Old Style"/>
        </w:rPr>
        <w:t xml:space="preserve"> le </w:t>
      </w:r>
      <w:r w:rsidR="00357B06" w:rsidRPr="00777CB4">
        <w:rPr>
          <w:rFonts w:ascii="Bookman Old Style" w:hAnsi="Bookman Old Style"/>
          <w:b/>
          <w:bCs/>
        </w:rPr>
        <w:t xml:space="preserve">risorse </w:t>
      </w:r>
      <w:r w:rsidR="00357B06" w:rsidRPr="00777CB4">
        <w:rPr>
          <w:rFonts w:ascii="Bookman Old Style" w:hAnsi="Bookman Old Style"/>
        </w:rPr>
        <w:t xml:space="preserve">derivanti dalla </w:t>
      </w:r>
      <w:r w:rsidR="00357B06" w:rsidRPr="00777CB4">
        <w:rPr>
          <w:rFonts w:ascii="Bookman Old Style" w:hAnsi="Bookman Old Style"/>
          <w:b/>
          <w:bCs/>
        </w:rPr>
        <w:t xml:space="preserve">quota libera dell’avanzo di amministrazione </w:t>
      </w:r>
      <w:r w:rsidR="00357B06" w:rsidRPr="00777CB4">
        <w:rPr>
          <w:rFonts w:ascii="Bookman Old Style" w:hAnsi="Bookman Old Style"/>
        </w:rPr>
        <w:t xml:space="preserve">degli enti locali, nonché quelle derivanti dai </w:t>
      </w:r>
      <w:r w:rsidR="00357B06" w:rsidRPr="00777CB4">
        <w:rPr>
          <w:rFonts w:ascii="Bookman Old Style" w:hAnsi="Bookman Old Style"/>
          <w:b/>
          <w:bCs/>
        </w:rPr>
        <w:t>proventi delle concessioni edilizie e delle sanzioni in materia edilizia</w:t>
      </w:r>
      <w:r w:rsidR="00357B06" w:rsidRPr="00777CB4">
        <w:rPr>
          <w:rFonts w:ascii="Bookman Old Style" w:hAnsi="Bookman Old Style"/>
        </w:rPr>
        <w:t xml:space="preserve">, possono essere </w:t>
      </w:r>
      <w:r w:rsidR="00357B06" w:rsidRPr="00777CB4">
        <w:rPr>
          <w:rFonts w:ascii="Bookman Old Style" w:hAnsi="Bookman Old Style"/>
        </w:rPr>
        <w:lastRenderedPageBreak/>
        <w:t xml:space="preserve">utilizzate, per l’anno 2022, a copertura dei </w:t>
      </w:r>
      <w:r w:rsidR="00357B06" w:rsidRPr="00777CB4">
        <w:rPr>
          <w:rFonts w:ascii="Bookman Old Style" w:hAnsi="Bookman Old Style"/>
          <w:b/>
          <w:bCs/>
        </w:rPr>
        <w:t>maggiori oneri derivanti dall’incremento della spesa per energia elettrica</w:t>
      </w:r>
      <w:r w:rsidR="00357B06" w:rsidRPr="00777CB4">
        <w:rPr>
          <w:rFonts w:ascii="Bookman Old Style" w:hAnsi="Bookman Old Style"/>
        </w:rPr>
        <w:t>, come riscontrati in base al confronto tra la spesa dell’esercizio 2022 e la spesa per utenze e periodi omologhi nel 2019.</w:t>
      </w:r>
    </w:p>
    <w:p w14:paraId="0E12E6F7" w14:textId="7449F47B" w:rsidR="00E66AA3" w:rsidRPr="00777CB4" w:rsidRDefault="00E66AA3" w:rsidP="00357B06">
      <w:pPr>
        <w:pStyle w:val="xmsolistparagraph"/>
        <w:autoSpaceDE w:val="0"/>
        <w:autoSpaceDN w:val="0"/>
        <w:ind w:left="0"/>
        <w:jc w:val="both"/>
        <w:rPr>
          <w:rFonts w:ascii="Bookman Old Style" w:hAnsi="Bookman Old Style"/>
          <w:b/>
          <w:bCs/>
          <w:color w:val="002060"/>
        </w:rPr>
      </w:pPr>
    </w:p>
    <w:p w14:paraId="71BC6BBD" w14:textId="77777777" w:rsidR="00877B5D" w:rsidRPr="00777CB4" w:rsidRDefault="00877B5D" w:rsidP="00877B5D">
      <w:pPr>
        <w:jc w:val="both"/>
        <w:rPr>
          <w:rFonts w:ascii="Bookman Old Style" w:hAnsi="Bookman Old Style"/>
        </w:rPr>
      </w:pPr>
    </w:p>
    <w:p w14:paraId="647E2B31" w14:textId="3300B4BD" w:rsidR="00877B5D" w:rsidRPr="00777CB4" w:rsidRDefault="00877B5D" w:rsidP="00877B5D">
      <w:pPr>
        <w:pStyle w:val="Titolo2"/>
        <w:numPr>
          <w:ilvl w:val="0"/>
          <w:numId w:val="11"/>
        </w:numPr>
        <w:spacing w:before="0" w:line="240" w:lineRule="auto"/>
        <w:jc w:val="both"/>
        <w:rPr>
          <w:rFonts w:ascii="Bookman Old Style" w:eastAsia="Times New Roman" w:hAnsi="Bookman Old Style"/>
          <w:b/>
          <w:bCs/>
          <w:i/>
          <w:iCs/>
          <w:color w:val="002060"/>
          <w:sz w:val="22"/>
          <w:szCs w:val="22"/>
        </w:rPr>
      </w:pPr>
      <w:bookmarkStart w:id="1" w:name="_Toc103001533"/>
      <w:bookmarkStart w:id="2" w:name="_Toc103001575"/>
      <w:bookmarkStart w:id="3" w:name="_Toc103001660"/>
      <w:bookmarkStart w:id="4" w:name="_Toc103001849"/>
      <w:bookmarkStart w:id="5" w:name="_Toc103003685"/>
      <w:r w:rsidRPr="00777CB4">
        <w:rPr>
          <w:rFonts w:ascii="Bookman Old Style" w:eastAsia="Times New Roman" w:hAnsi="Bookman Old Style"/>
          <w:b/>
          <w:bCs/>
          <w:i/>
          <w:iCs/>
          <w:color w:val="002060"/>
          <w:sz w:val="22"/>
          <w:szCs w:val="22"/>
        </w:rPr>
        <w:t xml:space="preserve">Revisione degli indicatori di deficit strutturale di bilancio per i comuni (Art. 37 </w:t>
      </w:r>
      <w:r w:rsidR="00E66AA3" w:rsidRPr="00777CB4">
        <w:rPr>
          <w:rFonts w:ascii="Bookman Old Style" w:eastAsia="Times New Roman" w:hAnsi="Bookman Old Style"/>
          <w:b/>
          <w:bCs/>
          <w:i/>
          <w:iCs/>
          <w:color w:val="002060"/>
          <w:sz w:val="22"/>
          <w:szCs w:val="22"/>
        </w:rPr>
        <w:t>quinquies</w:t>
      </w:r>
      <w:r w:rsidRPr="00777CB4">
        <w:rPr>
          <w:rFonts w:ascii="Bookman Old Style" w:eastAsia="Times New Roman" w:hAnsi="Bookman Old Style"/>
          <w:b/>
          <w:bCs/>
          <w:i/>
          <w:iCs/>
          <w:color w:val="002060"/>
          <w:sz w:val="22"/>
          <w:szCs w:val="22"/>
        </w:rPr>
        <w:t>)</w:t>
      </w:r>
      <w:bookmarkEnd w:id="1"/>
      <w:bookmarkEnd w:id="2"/>
      <w:bookmarkEnd w:id="3"/>
      <w:bookmarkEnd w:id="4"/>
      <w:bookmarkEnd w:id="5"/>
    </w:p>
    <w:p w14:paraId="574BE89E" w14:textId="77777777" w:rsidR="00877B5D" w:rsidRPr="00777CB4" w:rsidRDefault="00877B5D" w:rsidP="00877B5D">
      <w:pPr>
        <w:jc w:val="both"/>
        <w:rPr>
          <w:rFonts w:ascii="Bookman Old Style" w:hAnsi="Bookman Old Style"/>
        </w:rPr>
      </w:pPr>
    </w:p>
    <w:p w14:paraId="703DAF21" w14:textId="62C91358" w:rsidR="00877B5D" w:rsidRDefault="00877B5D" w:rsidP="00504C76">
      <w:pPr>
        <w:jc w:val="both"/>
        <w:rPr>
          <w:rFonts w:ascii="Bookman Old Style" w:hAnsi="Bookman Old Style"/>
        </w:rPr>
      </w:pPr>
      <w:r w:rsidRPr="001D5972">
        <w:rPr>
          <w:rFonts w:ascii="Bookman Old Style" w:hAnsi="Bookman Old Style"/>
        </w:rPr>
        <w:t xml:space="preserve">La norma prevede che, </w:t>
      </w:r>
      <w:r w:rsidR="00BA2294" w:rsidRPr="001D5972">
        <w:rPr>
          <w:rFonts w:ascii="Bookman Old Style" w:hAnsi="Bookman Old Style"/>
        </w:rPr>
        <w:t>ai fini del calcolo per determinare la situazione di deficit strutturale</w:t>
      </w:r>
      <w:r w:rsidR="00BA2294" w:rsidRPr="00777CB4">
        <w:rPr>
          <w:rFonts w:ascii="Bookman Old Style" w:hAnsi="Bookman Old Style"/>
        </w:rPr>
        <w:t xml:space="preserve"> degli enti locali per gli anni 2020, 2021 e 2022, gli enti includono tra gli incassi i ristori ricevuti dall’erario per compensare le minori entrate connesse all’emergenza </w:t>
      </w:r>
      <w:r w:rsidR="00A74B10">
        <w:rPr>
          <w:rFonts w:ascii="Bookman Old Style" w:hAnsi="Bookman Old Style"/>
        </w:rPr>
        <w:t>COVID-19.</w:t>
      </w:r>
    </w:p>
    <w:p w14:paraId="52F7B38F" w14:textId="77777777" w:rsidR="003A1337" w:rsidRPr="00777CB4" w:rsidRDefault="003A1337" w:rsidP="00504C76">
      <w:pPr>
        <w:jc w:val="both"/>
        <w:rPr>
          <w:rFonts w:ascii="Bookman Old Style" w:hAnsi="Bookman Old Style"/>
        </w:rPr>
      </w:pPr>
    </w:p>
    <w:p w14:paraId="0339AF10" w14:textId="77777777" w:rsidR="003A1337" w:rsidRPr="003A1337" w:rsidRDefault="003A1337" w:rsidP="003A1337">
      <w:pPr>
        <w:rPr>
          <w:lang w:eastAsia="en-US"/>
        </w:rPr>
      </w:pPr>
    </w:p>
    <w:p w14:paraId="4599345B" w14:textId="77777777" w:rsidR="00BA2294" w:rsidRPr="00777CB4" w:rsidRDefault="00BA2294" w:rsidP="00504C76">
      <w:pPr>
        <w:jc w:val="both"/>
        <w:rPr>
          <w:rFonts w:ascii="Bookman Old Style" w:hAnsi="Bookman Old Style" w:cstheme="minorBidi"/>
          <w:b/>
          <w:bCs/>
          <w:color w:val="002060"/>
          <w:lang w:eastAsia="en-US"/>
        </w:rPr>
      </w:pPr>
    </w:p>
    <w:p w14:paraId="53469BA7" w14:textId="42D7702B" w:rsidR="00877B5D" w:rsidRPr="00777CB4" w:rsidRDefault="004E63AB" w:rsidP="00504C76">
      <w:pPr>
        <w:jc w:val="both"/>
        <w:rPr>
          <w:rFonts w:ascii="Bookman Old Style" w:hAnsi="Bookman Old Style" w:cstheme="minorBidi"/>
          <w:b/>
          <w:bCs/>
          <w:color w:val="002060"/>
          <w:lang w:eastAsia="en-US"/>
        </w:rPr>
      </w:pPr>
      <w:r w:rsidRPr="00777CB4">
        <w:rPr>
          <w:rFonts w:ascii="Bookman Old Style" w:hAnsi="Bookman Old Style" w:cstheme="minorBidi"/>
          <w:b/>
          <w:bCs/>
          <w:color w:val="002060"/>
          <w:lang w:eastAsia="en-US"/>
        </w:rPr>
        <w:t>MISURE DI SEMPLIFICAZIONE E PROROGHE</w:t>
      </w:r>
    </w:p>
    <w:p w14:paraId="1EE27173" w14:textId="77777777" w:rsidR="004E63AB" w:rsidRPr="00777CB4" w:rsidRDefault="004E63AB" w:rsidP="00504C76">
      <w:pPr>
        <w:jc w:val="both"/>
        <w:rPr>
          <w:rFonts w:ascii="Bookman Old Style" w:hAnsi="Bookman Old Style" w:cstheme="minorBidi"/>
          <w:b/>
          <w:bCs/>
          <w:color w:val="002060"/>
          <w:lang w:eastAsia="en-US"/>
        </w:rPr>
      </w:pPr>
    </w:p>
    <w:p w14:paraId="305C1C7B" w14:textId="4EAD5534" w:rsidR="00B47A0D" w:rsidRPr="00777CB4" w:rsidRDefault="00B47A0D" w:rsidP="0078090A">
      <w:pPr>
        <w:pStyle w:val="Paragrafoelenco"/>
        <w:numPr>
          <w:ilvl w:val="0"/>
          <w:numId w:val="11"/>
        </w:numPr>
        <w:shd w:val="clear" w:color="auto" w:fill="FFFFFF"/>
        <w:jc w:val="both"/>
        <w:rPr>
          <w:rFonts w:ascii="Bookman Old Style" w:eastAsia="Times New Roman" w:hAnsi="Bookman Old Style"/>
          <w:color w:val="002060"/>
        </w:rPr>
      </w:pPr>
      <w:r w:rsidRPr="00777CB4">
        <w:rPr>
          <w:rFonts w:ascii="Bookman Old Style" w:eastAsia="Times New Roman" w:hAnsi="Bookman Old Style"/>
          <w:b/>
          <w:bCs/>
          <w:i/>
          <w:iCs/>
          <w:color w:val="002060"/>
        </w:rPr>
        <w:t xml:space="preserve">Semplificazione della procedura di autorizzazione per l'installazione di infrastrutture di comunicazione elettronica (Art. 7 </w:t>
      </w:r>
      <w:proofErr w:type="spellStart"/>
      <w:r w:rsidR="000956FE" w:rsidRPr="00777CB4">
        <w:rPr>
          <w:rFonts w:ascii="Bookman Old Style" w:eastAsia="Times New Roman" w:hAnsi="Bookman Old Style"/>
          <w:b/>
          <w:bCs/>
          <w:i/>
          <w:iCs/>
          <w:color w:val="002060"/>
        </w:rPr>
        <w:t>septies</w:t>
      </w:r>
      <w:proofErr w:type="spellEnd"/>
      <w:r w:rsidR="00611FFD" w:rsidRPr="00777CB4">
        <w:rPr>
          <w:rFonts w:ascii="Bookman Old Style" w:eastAsia="Times New Roman" w:hAnsi="Bookman Old Style"/>
          <w:b/>
          <w:bCs/>
          <w:i/>
          <w:iCs/>
          <w:color w:val="002060"/>
        </w:rPr>
        <w:t>)</w:t>
      </w:r>
    </w:p>
    <w:p w14:paraId="58BD63D0" w14:textId="77777777" w:rsidR="00B47A0D" w:rsidRPr="00777CB4" w:rsidRDefault="00B47A0D" w:rsidP="00B47A0D">
      <w:pPr>
        <w:pStyle w:val="NormaleWeb"/>
        <w:shd w:val="clear" w:color="auto" w:fill="FFFFFF"/>
        <w:jc w:val="both"/>
        <w:rPr>
          <w:rFonts w:ascii="Bookman Old Style" w:hAnsi="Bookman Old Style"/>
          <w:color w:val="000000"/>
        </w:rPr>
      </w:pPr>
      <w:r w:rsidRPr="00777CB4">
        <w:rPr>
          <w:rFonts w:ascii="Bookman Old Style" w:hAnsi="Bookman Old Style"/>
          <w:color w:val="000000"/>
        </w:rPr>
        <w:t> </w:t>
      </w:r>
    </w:p>
    <w:p w14:paraId="74AB0730" w14:textId="5DF936EC" w:rsidR="00B47A0D" w:rsidRPr="00777CB4" w:rsidRDefault="00B47A0D" w:rsidP="00B47A0D">
      <w:pPr>
        <w:pStyle w:val="NormaleWeb"/>
        <w:shd w:val="clear" w:color="auto" w:fill="FFFFFF"/>
        <w:jc w:val="both"/>
        <w:rPr>
          <w:rFonts w:ascii="Bookman Old Style" w:hAnsi="Bookman Old Style"/>
        </w:rPr>
      </w:pPr>
      <w:r w:rsidRPr="001D5972">
        <w:rPr>
          <w:rFonts w:ascii="Bookman Old Style" w:hAnsi="Bookman Old Style"/>
        </w:rPr>
        <w:t>La norma apporta una modifica al Decreto Legislativo n. 207/2021 -  che recepisce il</w:t>
      </w:r>
      <w:r w:rsidRPr="00777CB4">
        <w:rPr>
          <w:rFonts w:ascii="Bookman Old Style" w:hAnsi="Bookman Old Style"/>
        </w:rPr>
        <w:t xml:space="preserve"> Codice europeo delle comunicazioni elettroniche - e in particolare all’articolo inerente i </w:t>
      </w:r>
      <w:r w:rsidRPr="00777CB4">
        <w:rPr>
          <w:rFonts w:ascii="Bookman Old Style" w:hAnsi="Bookman Old Style"/>
          <w:shd w:val="clear" w:color="auto" w:fill="FFFFFF"/>
        </w:rPr>
        <w:t>procedimenti autorizzatori relativi alle infrastrutture di comunicazione elettronica per impianti radioelettrici</w:t>
      </w:r>
      <w:r w:rsidRPr="00777CB4">
        <w:rPr>
          <w:rFonts w:ascii="Bookman Old Style" w:hAnsi="Bookman Old Style"/>
        </w:rPr>
        <w:t xml:space="preserve"> stabilendo che, per l'installazione delle infrastrutture </w:t>
      </w:r>
      <w:proofErr w:type="spellStart"/>
      <w:r w:rsidRPr="00777CB4">
        <w:rPr>
          <w:rFonts w:ascii="Bookman Old Style" w:hAnsi="Bookman Old Style"/>
        </w:rPr>
        <w:t>c.d</w:t>
      </w:r>
      <w:proofErr w:type="spellEnd"/>
      <w:r w:rsidRPr="00777CB4">
        <w:rPr>
          <w:rFonts w:ascii="Bookman Old Style" w:hAnsi="Bookman Old Style"/>
        </w:rPr>
        <w:t xml:space="preserve"> "passive" quali pali, torri e tralicci destinate ad ospitare gli impianti radioelettrici, in fase di invio dell'istanza all'ente locale </w:t>
      </w:r>
      <w:r w:rsidRPr="00777CB4">
        <w:rPr>
          <w:rFonts w:ascii="Bookman Old Style" w:hAnsi="Bookman Old Style"/>
          <w:shd w:val="clear" w:color="auto" w:fill="FFFFFF"/>
        </w:rPr>
        <w:t>non va presentata la documentazione comprovante il rispetto dei limiti di esposizione, i valori di attenzione e degli obiettivi di qualità, relativi alle emissioni elettromagnetiche.</w:t>
      </w:r>
    </w:p>
    <w:p w14:paraId="54F039EA" w14:textId="77777777" w:rsidR="003B7D7C" w:rsidRPr="00777CB4" w:rsidRDefault="003B7D7C" w:rsidP="004E63AB">
      <w:pPr>
        <w:shd w:val="clear" w:color="auto" w:fill="FFFFFF"/>
        <w:jc w:val="both"/>
        <w:rPr>
          <w:rFonts w:ascii="Bookman Old Style" w:hAnsi="Bookman Old Style"/>
          <w:color w:val="000000"/>
          <w:shd w:val="clear" w:color="auto" w:fill="FFFFFF"/>
        </w:rPr>
      </w:pPr>
    </w:p>
    <w:p w14:paraId="77F9D5FB" w14:textId="38CC7CA8" w:rsidR="00777CB4" w:rsidRPr="00777CB4" w:rsidRDefault="00777CB4" w:rsidP="00777CB4">
      <w:pPr>
        <w:pStyle w:val="xmsonormal"/>
        <w:spacing w:line="252" w:lineRule="auto"/>
        <w:jc w:val="both"/>
        <w:rPr>
          <w:rFonts w:ascii="Bookman Old Style" w:hAnsi="Bookman Old Style"/>
        </w:rPr>
      </w:pPr>
    </w:p>
    <w:p w14:paraId="4692EB6E" w14:textId="13B8AB2E" w:rsidR="00777CB4" w:rsidRPr="00777CB4" w:rsidRDefault="00777CB4" w:rsidP="00777CB4">
      <w:pPr>
        <w:pStyle w:val="Paragrafoelenco"/>
        <w:numPr>
          <w:ilvl w:val="0"/>
          <w:numId w:val="11"/>
        </w:numPr>
        <w:shd w:val="clear" w:color="auto" w:fill="FFFFFF"/>
        <w:jc w:val="both"/>
        <w:rPr>
          <w:rFonts w:ascii="Bookman Old Style" w:eastAsia="Times New Roman" w:hAnsi="Bookman Old Style"/>
          <w:b/>
          <w:bCs/>
          <w:i/>
          <w:iCs/>
          <w:color w:val="002060"/>
        </w:rPr>
      </w:pPr>
      <w:r w:rsidRPr="00777CB4">
        <w:rPr>
          <w:rFonts w:ascii="Bookman Old Style" w:eastAsia="Times New Roman" w:hAnsi="Bookman Old Style"/>
          <w:b/>
          <w:bCs/>
          <w:i/>
          <w:iCs/>
          <w:color w:val="002060"/>
        </w:rPr>
        <w:t>Ulteriori disposizioni di sostegno alle imprese (Art</w:t>
      </w:r>
      <w:r>
        <w:rPr>
          <w:rFonts w:ascii="Bookman Old Style" w:eastAsia="Times New Roman" w:hAnsi="Bookman Old Style"/>
          <w:b/>
          <w:bCs/>
          <w:i/>
          <w:iCs/>
          <w:color w:val="002060"/>
        </w:rPr>
        <w:t>.</w:t>
      </w:r>
      <w:r w:rsidRPr="00777CB4">
        <w:rPr>
          <w:rFonts w:ascii="Bookman Old Style" w:eastAsia="Times New Roman" w:hAnsi="Bookman Old Style"/>
          <w:b/>
          <w:bCs/>
          <w:i/>
          <w:iCs/>
          <w:color w:val="002060"/>
        </w:rPr>
        <w:t xml:space="preserve"> 10-ter) </w:t>
      </w:r>
    </w:p>
    <w:p w14:paraId="0D5EAE82" w14:textId="77777777" w:rsidR="00777CB4" w:rsidRPr="00777CB4" w:rsidRDefault="00777CB4" w:rsidP="00777CB4">
      <w:pPr>
        <w:pStyle w:val="xmsonormal"/>
        <w:spacing w:line="252" w:lineRule="auto"/>
        <w:jc w:val="both"/>
        <w:rPr>
          <w:rFonts w:ascii="Bookman Old Style" w:hAnsi="Bookman Old Style"/>
        </w:rPr>
      </w:pPr>
      <w:r w:rsidRPr="00777CB4">
        <w:rPr>
          <w:rFonts w:ascii="Bookman Old Style" w:hAnsi="Bookman Old Style"/>
          <w:color w:val="000000"/>
        </w:rPr>
        <w:t> </w:t>
      </w:r>
    </w:p>
    <w:p w14:paraId="084194BD" w14:textId="77777777" w:rsidR="003A1337" w:rsidRPr="003A1337" w:rsidRDefault="003A1337" w:rsidP="003A1337">
      <w:pPr>
        <w:pStyle w:val="xmsonormal"/>
        <w:spacing w:line="252" w:lineRule="auto"/>
        <w:jc w:val="both"/>
        <w:rPr>
          <w:rFonts w:ascii="Bookman Old Style" w:hAnsi="Bookman Old Style"/>
          <w:color w:val="000000"/>
        </w:rPr>
      </w:pPr>
      <w:r w:rsidRPr="003A1337">
        <w:rPr>
          <w:rFonts w:ascii="Bookman Old Style" w:hAnsi="Bookman Old Style"/>
          <w:color w:val="000000"/>
        </w:rPr>
        <w:t>La disposizione prevede la proroga al 30 settembre 2022 delle autorizzazioni per l’utilizzo del suolo pubblico. Si ricorda che la precedente scadenza era stata inizialmente fissata al 31 marzo 2022 (comma 706, art. 1 della Legge di bilancio 2022). Successivamente la proroga inerente alle autorizzazioni è stata prorogata al 30 giugno 2022 dal comma 1, art.3-quinquies, del dl n.228/2021 (legge n.15/2022). Tale proroga è subordinata all’avvenuto pagamento del canone unico.</w:t>
      </w:r>
    </w:p>
    <w:p w14:paraId="56F3C8B6" w14:textId="77777777" w:rsidR="003A1337" w:rsidRPr="003A1337" w:rsidRDefault="003A1337" w:rsidP="003A1337">
      <w:pPr>
        <w:pStyle w:val="xmsonormal"/>
        <w:spacing w:line="252" w:lineRule="auto"/>
        <w:jc w:val="both"/>
        <w:rPr>
          <w:rFonts w:ascii="Bookman Old Style" w:hAnsi="Bookman Old Style"/>
          <w:color w:val="000000"/>
        </w:rPr>
      </w:pPr>
      <w:r w:rsidRPr="003A1337">
        <w:rPr>
          <w:rFonts w:ascii="Bookman Old Style" w:hAnsi="Bookman Old Style"/>
          <w:color w:val="000000"/>
        </w:rPr>
        <w:t xml:space="preserve">  </w:t>
      </w:r>
    </w:p>
    <w:p w14:paraId="22339A93" w14:textId="6167D4D8" w:rsidR="00777CB4" w:rsidRPr="00777CB4" w:rsidRDefault="003A1337" w:rsidP="003A1337">
      <w:pPr>
        <w:pStyle w:val="xmsonormal"/>
        <w:spacing w:line="252" w:lineRule="auto"/>
        <w:jc w:val="both"/>
        <w:rPr>
          <w:rFonts w:ascii="Bookman Old Style" w:hAnsi="Bookman Old Style"/>
        </w:rPr>
      </w:pPr>
      <w:r w:rsidRPr="003A1337">
        <w:rPr>
          <w:rFonts w:ascii="Bookman Old Style" w:hAnsi="Bookman Old Style"/>
          <w:color w:val="000000"/>
        </w:rPr>
        <w:t>Lo stesso comma (comma 706, art.1, della Legge di Bilancio 2022) aveva, inoltre, prorogato l’esonero dal pagamento del canone patrimoniale di concessione, autorizzazione o esposizione pubblicitaria e dal canone per l’occupazione delle aree destinate ai mercati fino al 31 marzo 2022 (disposizioni di esonero che inizialmente erano state previste dai commi 2 e 3, art.9-ter del dl n.137/2020 e che prevedevano l’esonero fino al 31 marzo 2021, successivamente prorogato al 31 dicembre 2021 dall’art.30 del dl n.41/2021).  Nessun’altra proroga di legge è stata prevista da disposizioni successive, per questo a partire da aprile 2022 le somme dovute devono essere regolarmente versate. Viene fatta salva, comunque, la possibilità per i Comuni di prevedere ulteriori riduzioni o esenzioni dal pagamento del canone unico per le attività interessate.</w:t>
      </w:r>
      <w:r w:rsidR="00777CB4" w:rsidRPr="00777CB4">
        <w:rPr>
          <w:rFonts w:ascii="Bookman Old Style" w:hAnsi="Bookman Old Style"/>
          <w:color w:val="000000"/>
        </w:rPr>
        <w:t> </w:t>
      </w:r>
    </w:p>
    <w:p w14:paraId="30BDBA11" w14:textId="77777777" w:rsidR="00777CB4" w:rsidRPr="00777CB4" w:rsidRDefault="00777CB4" w:rsidP="00777CB4">
      <w:pPr>
        <w:pStyle w:val="xmsonormal"/>
        <w:spacing w:line="252" w:lineRule="auto"/>
        <w:jc w:val="both"/>
        <w:rPr>
          <w:rFonts w:ascii="Bookman Old Style" w:hAnsi="Bookman Old Style"/>
        </w:rPr>
      </w:pPr>
      <w:r w:rsidRPr="00777CB4">
        <w:rPr>
          <w:rFonts w:ascii="Bookman Old Style" w:hAnsi="Bookman Old Style"/>
          <w:color w:val="000000"/>
        </w:rPr>
        <w:t> </w:t>
      </w:r>
    </w:p>
    <w:p w14:paraId="7997EEA5" w14:textId="4EF7BFC4" w:rsidR="00777CB4" w:rsidRPr="003172A8" w:rsidRDefault="00777CB4" w:rsidP="008B35CB">
      <w:pPr>
        <w:pStyle w:val="xmsonormal"/>
        <w:keepNext/>
        <w:numPr>
          <w:ilvl w:val="0"/>
          <w:numId w:val="11"/>
        </w:numPr>
        <w:spacing w:line="252" w:lineRule="auto"/>
        <w:ind w:left="714" w:hanging="357"/>
        <w:jc w:val="both"/>
        <w:rPr>
          <w:rFonts w:ascii="Bookman Old Style" w:eastAsia="Times New Roman" w:hAnsi="Bookman Old Style"/>
          <w:b/>
          <w:bCs/>
          <w:i/>
          <w:iCs/>
          <w:color w:val="002060"/>
        </w:rPr>
      </w:pPr>
      <w:r w:rsidRPr="003172A8">
        <w:rPr>
          <w:rFonts w:ascii="Bookman Old Style" w:eastAsia="Times New Roman" w:hAnsi="Bookman Old Style"/>
          <w:b/>
          <w:bCs/>
          <w:i/>
          <w:iCs/>
          <w:color w:val="002060"/>
        </w:rPr>
        <w:lastRenderedPageBreak/>
        <w:t>Proroga delle semplificazioni in materia di autorizzazioni di concessioni del suolo pubblico</w:t>
      </w:r>
      <w:r w:rsidR="003172A8">
        <w:rPr>
          <w:rFonts w:ascii="Bookman Old Style" w:eastAsia="Times New Roman" w:hAnsi="Bookman Old Style"/>
          <w:b/>
          <w:bCs/>
          <w:i/>
          <w:iCs/>
          <w:color w:val="002060"/>
        </w:rPr>
        <w:t xml:space="preserve"> (</w:t>
      </w:r>
      <w:r w:rsidR="003172A8" w:rsidRPr="003172A8">
        <w:rPr>
          <w:rFonts w:ascii="Bookman Old Style" w:eastAsia="Times New Roman" w:hAnsi="Bookman Old Style"/>
          <w:b/>
          <w:bCs/>
          <w:i/>
          <w:iCs/>
          <w:color w:val="002060"/>
        </w:rPr>
        <w:t>Articolo 22-quater</w:t>
      </w:r>
      <w:r w:rsidR="003172A8">
        <w:rPr>
          <w:rFonts w:ascii="Bookman Old Style" w:eastAsia="Times New Roman" w:hAnsi="Bookman Old Style"/>
          <w:b/>
          <w:bCs/>
          <w:i/>
          <w:iCs/>
          <w:color w:val="002060"/>
        </w:rPr>
        <w:t>)</w:t>
      </w:r>
    </w:p>
    <w:p w14:paraId="54AB334A" w14:textId="77777777" w:rsidR="00777CB4" w:rsidRPr="00777CB4" w:rsidRDefault="00777CB4" w:rsidP="008B35CB">
      <w:pPr>
        <w:pStyle w:val="xmsonormal"/>
        <w:keepNext/>
        <w:spacing w:line="252" w:lineRule="auto"/>
        <w:jc w:val="both"/>
        <w:rPr>
          <w:rFonts w:ascii="Bookman Old Style" w:hAnsi="Bookman Old Style"/>
        </w:rPr>
      </w:pPr>
      <w:r w:rsidRPr="00777CB4">
        <w:rPr>
          <w:rFonts w:ascii="Bookman Old Style" w:hAnsi="Bookman Old Style"/>
          <w:color w:val="000000"/>
        </w:rPr>
        <w:t> </w:t>
      </w:r>
    </w:p>
    <w:p w14:paraId="46DB87C2" w14:textId="2576C12B" w:rsidR="00777CB4" w:rsidRPr="00777CB4" w:rsidRDefault="003172A8" w:rsidP="00777CB4">
      <w:pPr>
        <w:pStyle w:val="xmsonormal"/>
        <w:spacing w:line="252" w:lineRule="auto"/>
        <w:jc w:val="both"/>
        <w:rPr>
          <w:rFonts w:ascii="Bookman Old Style" w:hAnsi="Bookman Old Style"/>
        </w:rPr>
      </w:pPr>
      <w:r>
        <w:rPr>
          <w:rFonts w:ascii="Bookman Old Style" w:hAnsi="Bookman Old Style"/>
          <w:color w:val="000000"/>
        </w:rPr>
        <w:t>L’articolo, al comma 1 prevede che</w:t>
      </w:r>
      <w:r w:rsidR="00777CB4" w:rsidRPr="00777CB4">
        <w:rPr>
          <w:rFonts w:ascii="Bookman Old Style" w:hAnsi="Bookman Old Style"/>
          <w:color w:val="000000"/>
        </w:rPr>
        <w:t>, a far data dal lº luglio 2022 e fino al 30 settembre 2022, le domande di nuove concessioni per l'occupazione di suolo pubblico o di ampliamento delle superfici già concesse sono presentate in via telematica all'ufficio competente dell'ente locale, con allegata la sola planimetria, in deroga al regolamento di cui al decreto DPR 160/2010. </w:t>
      </w:r>
    </w:p>
    <w:p w14:paraId="6EF3EA33" w14:textId="77777777" w:rsidR="00777CB4" w:rsidRPr="00777CB4" w:rsidRDefault="00777CB4" w:rsidP="00777CB4">
      <w:pPr>
        <w:pStyle w:val="xmsonormal"/>
        <w:spacing w:line="252" w:lineRule="auto"/>
        <w:jc w:val="both"/>
        <w:rPr>
          <w:rFonts w:ascii="Bookman Old Style" w:hAnsi="Bookman Old Style"/>
        </w:rPr>
      </w:pPr>
      <w:r w:rsidRPr="00777CB4">
        <w:rPr>
          <w:rFonts w:ascii="Bookman Old Style" w:hAnsi="Bookman Old Style"/>
          <w:color w:val="000000"/>
        </w:rPr>
        <w:t xml:space="preserve">Il comma 2 prevede che, a far data dal 1º luglio 2022 e comunque non oltre il 30 settembre 2022, la posa in opera temporanea su vie, piazze, strade e altri spazi aperti di interesse culturale o paesaggistico, da parte dei pubblici esercizi, di strutture amovibili, quali dehors, elementi di arredo urbano, attrezzature, pedane, tavolini, sedute e ombrelloni, purché funzionali all'attività di somministrazione non è subordinata alle autorizzazioni culturali e paesaggistiche di cui agli articoli 21 e 146 del codice beni culturali, di cui al decreto legislativo n. 42/2004. Per la posa in opera delle </w:t>
      </w:r>
      <w:proofErr w:type="gramStart"/>
      <w:r w:rsidRPr="00777CB4">
        <w:rPr>
          <w:rFonts w:ascii="Bookman Old Style" w:hAnsi="Bookman Old Style"/>
          <w:color w:val="000000"/>
        </w:rPr>
        <w:t>strutture  amovibili</w:t>
      </w:r>
      <w:proofErr w:type="gramEnd"/>
      <w:r w:rsidRPr="00777CB4">
        <w:rPr>
          <w:rFonts w:ascii="Bookman Old Style" w:hAnsi="Bookman Old Style"/>
          <w:color w:val="000000"/>
        </w:rPr>
        <w:t xml:space="preserve"> è disapplicato il limite temporale di cui all'articolo 6, c. 1, lett. e-bis), del testo unico di cui al DPR 380/2001 (termine massimo di 180 gg  per la rimozione delle opere stagionali e quelle dirette a soddisfare obiettive esigenze, contingenti e temporanee). </w:t>
      </w:r>
    </w:p>
    <w:p w14:paraId="0E0A18ED" w14:textId="768B94AB" w:rsidR="0063418F" w:rsidRPr="00777CB4" w:rsidRDefault="0063418F" w:rsidP="00875961">
      <w:pPr>
        <w:jc w:val="both"/>
        <w:rPr>
          <w:rFonts w:ascii="Bookman Old Style" w:hAnsi="Bookman Old Style"/>
        </w:rPr>
      </w:pPr>
    </w:p>
    <w:p w14:paraId="035FE717" w14:textId="68B00762" w:rsidR="00C25737" w:rsidRDefault="00C25737" w:rsidP="00875961">
      <w:pPr>
        <w:jc w:val="both"/>
        <w:rPr>
          <w:rFonts w:ascii="Bookman Old Style" w:hAnsi="Bookman Old Style"/>
          <w:color w:val="000000"/>
          <w:shd w:val="clear" w:color="auto" w:fill="FFFFFF"/>
        </w:rPr>
      </w:pPr>
      <w:r w:rsidRPr="00C25737">
        <w:rPr>
          <w:rFonts w:ascii="Bookman Old Style" w:hAnsi="Bookman Old Style"/>
          <w:color w:val="FF0000"/>
          <w:shd w:val="clear" w:color="auto" w:fill="FFFFFF"/>
        </w:rPr>
        <w:t xml:space="preserve">Si segnala che le </w:t>
      </w:r>
      <w:r>
        <w:rPr>
          <w:rFonts w:ascii="Bookman Old Style" w:hAnsi="Bookman Old Style"/>
          <w:color w:val="FF0000"/>
          <w:shd w:val="clear" w:color="auto" w:fill="FFFFFF"/>
        </w:rPr>
        <w:t xml:space="preserve">previsioni </w:t>
      </w:r>
      <w:r w:rsidRPr="00C25737">
        <w:rPr>
          <w:rFonts w:ascii="Bookman Old Style" w:hAnsi="Bookman Old Style"/>
          <w:color w:val="FF0000"/>
          <w:shd w:val="clear" w:color="auto" w:fill="FFFFFF"/>
        </w:rPr>
        <w:t xml:space="preserve">recate dagli artt.  10 ter e 22-quater, da leggersi in combinato disposto, </w:t>
      </w:r>
      <w:r>
        <w:rPr>
          <w:rFonts w:ascii="Bookman Old Style" w:hAnsi="Bookman Old Style"/>
          <w:color w:val="FF0000"/>
          <w:shd w:val="clear" w:color="auto" w:fill="FFFFFF"/>
        </w:rPr>
        <w:t>presentano problemi di coordinamento e</w:t>
      </w:r>
      <w:r w:rsidR="00E80E73">
        <w:rPr>
          <w:rFonts w:ascii="Bookman Old Style" w:hAnsi="Bookman Old Style"/>
          <w:color w:val="FF0000"/>
          <w:shd w:val="clear" w:color="auto" w:fill="FFFFFF"/>
        </w:rPr>
        <w:t xml:space="preserve"> molteplici </w:t>
      </w:r>
      <w:r>
        <w:rPr>
          <w:rFonts w:ascii="Bookman Old Style" w:hAnsi="Bookman Old Style"/>
          <w:color w:val="FF0000"/>
          <w:shd w:val="clear" w:color="auto" w:fill="FFFFFF"/>
        </w:rPr>
        <w:t>criticità interpretative in ordine all’esatto ambito di</w:t>
      </w:r>
      <w:r w:rsidR="00E80E73">
        <w:rPr>
          <w:rFonts w:ascii="Bookman Old Style" w:hAnsi="Bookman Old Style"/>
          <w:color w:val="FF0000"/>
          <w:shd w:val="clear" w:color="auto" w:fill="FFFFFF"/>
        </w:rPr>
        <w:t xml:space="preserve"> applicazione</w:t>
      </w:r>
      <w:r w:rsidR="002B22ED">
        <w:rPr>
          <w:rFonts w:ascii="Bookman Old Style" w:hAnsi="Bookman Old Style"/>
          <w:color w:val="FF0000"/>
          <w:shd w:val="clear" w:color="auto" w:fill="FFFFFF"/>
        </w:rPr>
        <w:t>.</w:t>
      </w:r>
    </w:p>
    <w:p w14:paraId="113117A7" w14:textId="77777777" w:rsidR="00C25737" w:rsidRPr="00777CB4" w:rsidRDefault="00C25737" w:rsidP="00875961">
      <w:pPr>
        <w:jc w:val="both"/>
        <w:rPr>
          <w:rFonts w:ascii="Bookman Old Style" w:hAnsi="Bookman Old Style"/>
          <w:color w:val="000000"/>
          <w:shd w:val="clear" w:color="auto" w:fill="FFFFFF"/>
        </w:rPr>
      </w:pPr>
    </w:p>
    <w:p w14:paraId="4BF3E463" w14:textId="7243D903" w:rsidR="004E63AB" w:rsidRPr="00777CB4" w:rsidRDefault="004E63AB" w:rsidP="004E63AB">
      <w:pPr>
        <w:pStyle w:val="Titolo2"/>
        <w:numPr>
          <w:ilvl w:val="0"/>
          <w:numId w:val="1"/>
        </w:numPr>
        <w:spacing w:before="0" w:line="240" w:lineRule="auto"/>
        <w:jc w:val="both"/>
        <w:rPr>
          <w:rStyle w:val="Titolo2Carattere"/>
          <w:rFonts w:ascii="Bookman Old Style" w:eastAsia="Times New Roman" w:hAnsi="Bookman Old Style"/>
          <w:b/>
          <w:bCs/>
          <w:i/>
          <w:iCs/>
          <w:color w:val="002060"/>
          <w:sz w:val="22"/>
          <w:szCs w:val="22"/>
        </w:rPr>
      </w:pPr>
      <w:bookmarkStart w:id="6" w:name="_Toc103001530"/>
      <w:bookmarkStart w:id="7" w:name="_Toc103001572"/>
      <w:bookmarkStart w:id="8" w:name="_Toc103001657"/>
      <w:bookmarkStart w:id="9" w:name="_Toc103001846"/>
      <w:bookmarkStart w:id="10" w:name="_Toc103003678"/>
      <w:r w:rsidRPr="00777CB4">
        <w:rPr>
          <w:rStyle w:val="Titolo2Carattere"/>
          <w:rFonts w:ascii="Bookman Old Style" w:hAnsi="Bookman Old Style"/>
          <w:b/>
          <w:bCs/>
          <w:i/>
          <w:iCs/>
          <w:color w:val="002060"/>
          <w:sz w:val="22"/>
          <w:szCs w:val="22"/>
        </w:rPr>
        <w:t xml:space="preserve">Sospensione dei termini relativi alle trattenute per l’addizionale comunale che i soggetti che gestiscono teatri, sale da concerto e altre strutture artistiche operano nei mesi di aprile, maggio e giugno 2022 (Art. 22 </w:t>
      </w:r>
      <w:bookmarkEnd w:id="6"/>
      <w:bookmarkEnd w:id="7"/>
      <w:bookmarkEnd w:id="8"/>
      <w:bookmarkEnd w:id="9"/>
      <w:bookmarkEnd w:id="10"/>
      <w:r w:rsidR="00F3028E" w:rsidRPr="00777CB4">
        <w:rPr>
          <w:rStyle w:val="Titolo2Carattere"/>
          <w:rFonts w:ascii="Bookman Old Style" w:hAnsi="Bookman Old Style"/>
          <w:b/>
          <w:bCs/>
          <w:i/>
          <w:iCs/>
          <w:color w:val="002060"/>
          <w:sz w:val="22"/>
          <w:szCs w:val="22"/>
        </w:rPr>
        <w:t>bis)</w:t>
      </w:r>
    </w:p>
    <w:p w14:paraId="668D8E84" w14:textId="77777777" w:rsidR="004E63AB" w:rsidRPr="00777CB4" w:rsidRDefault="004E63AB" w:rsidP="004E63AB">
      <w:pPr>
        <w:jc w:val="both"/>
        <w:rPr>
          <w:rStyle w:val="Titolo1Carattere"/>
          <w:rFonts w:ascii="Bookman Old Style" w:hAnsi="Bookman Old Style"/>
          <w:sz w:val="22"/>
          <w:szCs w:val="22"/>
        </w:rPr>
      </w:pPr>
    </w:p>
    <w:p w14:paraId="5FA15503" w14:textId="57DD6443" w:rsidR="004E63AB" w:rsidRPr="00777CB4" w:rsidRDefault="004E63AB" w:rsidP="004E63AB">
      <w:pPr>
        <w:jc w:val="both"/>
        <w:rPr>
          <w:rFonts w:ascii="Bookman Old Style" w:eastAsia="Times New Roman" w:hAnsi="Bookman Old Style"/>
        </w:rPr>
      </w:pPr>
      <w:r w:rsidRPr="00777CB4">
        <w:rPr>
          <w:rFonts w:ascii="Bookman Old Style" w:hAnsi="Bookman Old Style"/>
          <w:b/>
          <w:bCs/>
        </w:rPr>
        <w:t xml:space="preserve">La norma </w:t>
      </w:r>
      <w:r w:rsidRPr="00777CB4">
        <w:rPr>
          <w:rFonts w:ascii="Bookman Old Style" w:hAnsi="Bookman Old Style"/>
        </w:rPr>
        <w:t xml:space="preserve">stabilisce che per i soggetti che gestiscono teatri, sale da concerto e altre strutture artistiche (codici Ateco 90.04.00), </w:t>
      </w:r>
      <w:r w:rsidRPr="00777CB4">
        <w:rPr>
          <w:rFonts w:ascii="Bookman Old Style" w:hAnsi="Bookman Old Style"/>
          <w:b/>
          <w:bCs/>
        </w:rPr>
        <w:t>sono sospesi ì termini relativi ai versamenti delle ritenute alla fonte e delle trattenute relative all'addizionale regionale e comunale</w:t>
      </w:r>
      <w:r w:rsidRPr="00777CB4">
        <w:rPr>
          <w:rFonts w:ascii="Bookman Old Style" w:hAnsi="Bookman Old Style"/>
        </w:rPr>
        <w:t>, che i predetti soggetti operano in qualità di sostituti d'imposta, nei mesi di aprile, maggio e giugno 2022</w:t>
      </w:r>
      <w:r w:rsidR="002C3C7A" w:rsidRPr="00777CB4">
        <w:rPr>
          <w:rFonts w:ascii="Bookman Old Style" w:hAnsi="Bookman Old Style"/>
        </w:rPr>
        <w:t xml:space="preserve"> nonch</w:t>
      </w:r>
      <w:r w:rsidR="00BF132E" w:rsidRPr="00777CB4">
        <w:rPr>
          <w:rFonts w:ascii="Bookman Old Style" w:hAnsi="Bookman Old Style"/>
        </w:rPr>
        <w:t>é</w:t>
      </w:r>
      <w:r w:rsidRPr="00777CB4">
        <w:rPr>
          <w:rFonts w:ascii="Bookman Old Style" w:hAnsi="Bookman Old Style"/>
        </w:rPr>
        <w:t xml:space="preserve"> i termini dei versamenti relativi all'imposta sul valore aggiunto in scadenza nel mese di aprile, maggio e giugno 2022. I </w:t>
      </w:r>
      <w:r w:rsidRPr="00777CB4">
        <w:rPr>
          <w:rFonts w:ascii="Bookman Old Style" w:hAnsi="Bookman Old Style"/>
          <w:b/>
          <w:bCs/>
        </w:rPr>
        <w:t>versamenti sospesi sono effettuati, senza applicazione di sanzioni e interessi, in un'unica soluzione entro il 16 novembre 2022</w:t>
      </w:r>
      <w:r w:rsidRPr="00777CB4">
        <w:rPr>
          <w:rFonts w:ascii="Bookman Old Style" w:hAnsi="Bookman Old Style"/>
        </w:rPr>
        <w:t xml:space="preserve">. </w:t>
      </w:r>
    </w:p>
    <w:p w14:paraId="0733BFC9" w14:textId="675D3D6E" w:rsidR="004E63AB" w:rsidRDefault="004E63AB" w:rsidP="00504C76">
      <w:pPr>
        <w:jc w:val="both"/>
        <w:rPr>
          <w:rFonts w:ascii="Bookman Old Style" w:hAnsi="Bookman Old Style" w:cstheme="minorBidi"/>
          <w:b/>
          <w:bCs/>
          <w:color w:val="002060"/>
          <w:lang w:eastAsia="en-US"/>
        </w:rPr>
      </w:pPr>
    </w:p>
    <w:p w14:paraId="7F0A926D" w14:textId="1A937450" w:rsidR="003A1337" w:rsidRDefault="003A1337" w:rsidP="003A1337">
      <w:pPr>
        <w:pStyle w:val="Titolo2"/>
        <w:numPr>
          <w:ilvl w:val="0"/>
          <w:numId w:val="1"/>
        </w:numPr>
        <w:spacing w:before="0" w:line="240" w:lineRule="auto"/>
        <w:jc w:val="both"/>
        <w:rPr>
          <w:rStyle w:val="Titolo2Carattere"/>
          <w:rFonts w:ascii="Bookman Old Style" w:hAnsi="Bookman Old Style"/>
          <w:b/>
          <w:bCs/>
          <w:i/>
          <w:iCs/>
          <w:color w:val="002060"/>
          <w:sz w:val="22"/>
          <w:szCs w:val="22"/>
        </w:rPr>
      </w:pPr>
      <w:r w:rsidRPr="003A1337">
        <w:rPr>
          <w:rStyle w:val="Titolo2Carattere"/>
          <w:rFonts w:ascii="Bookman Old Style" w:hAnsi="Bookman Old Style"/>
          <w:b/>
          <w:bCs/>
          <w:i/>
          <w:iCs/>
          <w:color w:val="002060"/>
          <w:sz w:val="22"/>
          <w:szCs w:val="22"/>
        </w:rPr>
        <w:t>Credito d’imposta per l’IMU in favore del comparto del turismo</w:t>
      </w:r>
      <w:r>
        <w:rPr>
          <w:rStyle w:val="Titolo2Carattere"/>
          <w:rFonts w:ascii="Bookman Old Style" w:hAnsi="Bookman Old Style"/>
          <w:b/>
          <w:bCs/>
          <w:i/>
          <w:iCs/>
          <w:color w:val="002060"/>
          <w:sz w:val="22"/>
          <w:szCs w:val="22"/>
        </w:rPr>
        <w:t xml:space="preserve"> (art.22)</w:t>
      </w:r>
    </w:p>
    <w:p w14:paraId="25E1D7C3" w14:textId="77777777" w:rsidR="00277482" w:rsidRPr="00277482" w:rsidRDefault="00277482" w:rsidP="00277482">
      <w:pPr>
        <w:rPr>
          <w:lang w:eastAsia="en-US"/>
        </w:rPr>
      </w:pPr>
    </w:p>
    <w:p w14:paraId="5F4A92A5" w14:textId="4B8A7ABD" w:rsidR="00277482" w:rsidRPr="00B369E2" w:rsidRDefault="00277482" w:rsidP="00277482">
      <w:pPr>
        <w:jc w:val="both"/>
        <w:textAlignment w:val="baseline"/>
        <w:rPr>
          <w:rFonts w:ascii="Bookman Old Style" w:eastAsia="Times New Roman" w:hAnsi="Bookman Old Style" w:cs="Segoe UI"/>
        </w:rPr>
      </w:pPr>
      <w:r>
        <w:rPr>
          <w:rFonts w:ascii="Bookman Old Style" w:eastAsia="Times New Roman" w:hAnsi="Bookman Old Style" w:cs="Segoe UI"/>
        </w:rPr>
        <w:t>La disposizione</w:t>
      </w:r>
      <w:r w:rsidRPr="2CB44FAE">
        <w:rPr>
          <w:rFonts w:ascii="Bookman Old Style" w:eastAsia="Times New Roman" w:hAnsi="Bookman Old Style" w:cs="Segoe UI"/>
        </w:rPr>
        <w:t xml:space="preserve"> prevede un </w:t>
      </w:r>
      <w:r w:rsidRPr="2CB44FAE">
        <w:rPr>
          <w:rFonts w:ascii="Bookman Old Style" w:eastAsia="Times New Roman" w:hAnsi="Bookman Old Style" w:cs="Segoe UI"/>
          <w:b/>
          <w:bCs/>
        </w:rPr>
        <w:t>credito di imposta per le imprese turistico ricettive pari al 50 per cento dell’importo dell’IMU versato a titolo di seconda rata per l’anno 2021</w:t>
      </w:r>
      <w:r w:rsidRPr="2CB44FAE">
        <w:rPr>
          <w:rFonts w:ascii="Bookman Old Style" w:eastAsia="Times New Roman" w:hAnsi="Bookman Old Style" w:cs="Segoe UI"/>
        </w:rPr>
        <w:t xml:space="preserve">. </w:t>
      </w:r>
    </w:p>
    <w:p w14:paraId="4AE89AEF" w14:textId="77777777" w:rsidR="00277482" w:rsidRPr="00B369E2" w:rsidRDefault="00277482" w:rsidP="00277482">
      <w:pPr>
        <w:jc w:val="both"/>
        <w:textAlignment w:val="baseline"/>
        <w:rPr>
          <w:rFonts w:ascii="Bookman Old Style" w:eastAsia="Times New Roman" w:hAnsi="Bookman Old Style" w:cs="Segoe UI"/>
        </w:rPr>
      </w:pPr>
      <w:r w:rsidRPr="2CB44FAE">
        <w:rPr>
          <w:rFonts w:ascii="Bookman Old Style" w:eastAsia="Times New Roman" w:hAnsi="Bookman Old Style" w:cs="Segoe UI"/>
        </w:rPr>
        <w:t>Il comma 2 prevede che il contributo spetti alle imprese che:</w:t>
      </w:r>
    </w:p>
    <w:p w14:paraId="588C983E" w14:textId="77777777" w:rsidR="00277482" w:rsidRPr="00B369E2" w:rsidRDefault="00277482" w:rsidP="00277482">
      <w:pPr>
        <w:pStyle w:val="Paragrafoelenco"/>
        <w:numPr>
          <w:ilvl w:val="0"/>
          <w:numId w:val="15"/>
        </w:numPr>
        <w:jc w:val="both"/>
        <w:textAlignment w:val="baseline"/>
        <w:rPr>
          <w:rFonts w:ascii="Bookman Old Style" w:eastAsia="Times New Roman" w:hAnsi="Bookman Old Style" w:cs="Segoe UI"/>
        </w:rPr>
      </w:pPr>
      <w:r w:rsidRPr="2CB44FAE">
        <w:rPr>
          <w:rFonts w:ascii="Bookman Old Style" w:eastAsia="Times New Roman" w:hAnsi="Bookman Old Style" w:cs="Segoe UI"/>
        </w:rPr>
        <w:t>Esercitano attività agrituristica (come definita dalla legge n.96/2006 e dalle norme regionali);</w:t>
      </w:r>
    </w:p>
    <w:p w14:paraId="24B95F10" w14:textId="77777777" w:rsidR="00277482" w:rsidRPr="00B369E2" w:rsidRDefault="00277482" w:rsidP="00277482">
      <w:pPr>
        <w:pStyle w:val="Paragrafoelenco"/>
        <w:numPr>
          <w:ilvl w:val="0"/>
          <w:numId w:val="15"/>
        </w:numPr>
        <w:jc w:val="both"/>
        <w:textAlignment w:val="baseline"/>
        <w:rPr>
          <w:rFonts w:ascii="Bookman Old Style" w:eastAsia="Times New Roman" w:hAnsi="Bookman Old Style" w:cs="Segoe UI"/>
        </w:rPr>
      </w:pPr>
      <w:r w:rsidRPr="2CB44FAE">
        <w:rPr>
          <w:rFonts w:ascii="Bookman Old Style" w:eastAsia="Times New Roman" w:hAnsi="Bookman Old Style" w:cs="Segoe UI"/>
        </w:rPr>
        <w:t>Gestiscono strutture ricettive all’aria aperta;</w:t>
      </w:r>
    </w:p>
    <w:p w14:paraId="7680A8CC" w14:textId="77777777" w:rsidR="00277482" w:rsidRPr="00B369E2" w:rsidRDefault="00277482" w:rsidP="00277482">
      <w:pPr>
        <w:pStyle w:val="Paragrafoelenco"/>
        <w:numPr>
          <w:ilvl w:val="0"/>
          <w:numId w:val="15"/>
        </w:numPr>
        <w:jc w:val="both"/>
        <w:textAlignment w:val="baseline"/>
        <w:rPr>
          <w:rFonts w:ascii="Bookman Old Style" w:eastAsia="Times New Roman" w:hAnsi="Bookman Old Style" w:cs="Segoe UI"/>
        </w:rPr>
      </w:pPr>
      <w:r w:rsidRPr="2CB44FAE">
        <w:rPr>
          <w:rFonts w:ascii="Bookman Old Style" w:eastAsia="Times New Roman" w:hAnsi="Bookman Old Style" w:cs="Segoe UI"/>
        </w:rPr>
        <w:t>Fanno parte del comparto fieristico e congressuale, sono complessi termali oppure parchi tematici.</w:t>
      </w:r>
    </w:p>
    <w:p w14:paraId="40D89EF5" w14:textId="77777777" w:rsidR="00277482" w:rsidRPr="00B369E2" w:rsidRDefault="00277482" w:rsidP="00277482">
      <w:pPr>
        <w:jc w:val="both"/>
        <w:textAlignment w:val="baseline"/>
        <w:rPr>
          <w:rFonts w:ascii="Bookman Old Style" w:eastAsia="Times New Roman" w:hAnsi="Bookman Old Style" w:cs="Segoe UI"/>
        </w:rPr>
      </w:pPr>
      <w:r w:rsidRPr="2CB44FAE">
        <w:rPr>
          <w:rFonts w:ascii="Bookman Old Style" w:eastAsia="Times New Roman" w:hAnsi="Bookman Old Style" w:cs="Segoe UI"/>
        </w:rPr>
        <w:t xml:space="preserve">Il contributo spetta per gli immobili rientranti nella categoria D/2 presso i quali è gestita l’attività ricettiva, </w:t>
      </w:r>
      <w:r w:rsidRPr="2CB44FAE">
        <w:rPr>
          <w:rFonts w:ascii="Bookman Old Style" w:eastAsia="Times New Roman" w:hAnsi="Bookman Old Style" w:cs="Segoe UI"/>
          <w:b/>
          <w:bCs/>
        </w:rPr>
        <w:t>a condizione che i relativi proprietari siano anche gestori delle attività</w:t>
      </w:r>
      <w:r w:rsidRPr="2CB44FAE">
        <w:rPr>
          <w:rFonts w:ascii="Bookman Old Style" w:eastAsia="Times New Roman" w:hAnsi="Bookman Old Style" w:cs="Segoe UI"/>
        </w:rPr>
        <w:t xml:space="preserve"> ivi esercitate e che abbiamo subito una diminuzione del fatturato o dei corrispettivi nel secondo trimestre 2021 di </w:t>
      </w:r>
      <w:r w:rsidRPr="2CB44FAE">
        <w:rPr>
          <w:rFonts w:ascii="Bookman Old Style" w:eastAsia="Times New Roman" w:hAnsi="Bookman Old Style" w:cs="Segoe UI"/>
          <w:b/>
          <w:bCs/>
        </w:rPr>
        <w:t>almeno il 50 per cento</w:t>
      </w:r>
      <w:r w:rsidRPr="2CB44FAE">
        <w:rPr>
          <w:rFonts w:ascii="Bookman Old Style" w:eastAsia="Times New Roman" w:hAnsi="Bookman Old Style" w:cs="Segoe UI"/>
        </w:rPr>
        <w:t xml:space="preserve"> rispetto al corrispondente periodo del 2019.</w:t>
      </w:r>
    </w:p>
    <w:p w14:paraId="4780F317" w14:textId="08E0131F" w:rsidR="00277482" w:rsidRDefault="00277482" w:rsidP="00277482">
      <w:pPr>
        <w:jc w:val="both"/>
        <w:textAlignment w:val="baseline"/>
        <w:rPr>
          <w:rFonts w:ascii="Bookman Old Style" w:eastAsia="Times New Roman" w:hAnsi="Bookman Old Style" w:cs="Bookman Old Style"/>
        </w:rPr>
      </w:pPr>
      <w:r>
        <w:rPr>
          <w:rFonts w:ascii="Bookman Old Style" w:eastAsia="Times New Roman" w:hAnsi="Bookman Old Style" w:cs="Segoe UI"/>
        </w:rPr>
        <w:t>L</w:t>
      </w:r>
      <w:r w:rsidRPr="2CB44FAE">
        <w:rPr>
          <w:rFonts w:ascii="Bookman Old Style" w:eastAsia="Times New Roman" w:hAnsi="Bookman Old Style" w:cs="Segoe UI"/>
        </w:rPr>
        <w:t xml:space="preserve">’applicazione della misura di sostegno </w:t>
      </w:r>
      <w:r>
        <w:rPr>
          <w:rFonts w:ascii="Bookman Old Style" w:eastAsia="Times New Roman" w:hAnsi="Bookman Old Style" w:cs="Segoe UI"/>
        </w:rPr>
        <w:t xml:space="preserve">viene condizionata </w:t>
      </w:r>
      <w:r w:rsidRPr="2CB44FAE">
        <w:rPr>
          <w:rFonts w:ascii="Bookman Old Style" w:eastAsia="Times New Roman" w:hAnsi="Bookman Old Style" w:cs="Segoe UI"/>
        </w:rPr>
        <w:t xml:space="preserve">al </w:t>
      </w:r>
      <w:r w:rsidRPr="2CB44FAE">
        <w:rPr>
          <w:rFonts w:ascii="Bookman Old Style" w:eastAsia="Times New Roman" w:hAnsi="Bookman Old Style" w:cs="Segoe UI"/>
          <w:b/>
          <w:bCs/>
        </w:rPr>
        <w:t>rispetto della normativa europea in materia di aiuti di Stato</w:t>
      </w:r>
      <w:r w:rsidRPr="2CB44FAE">
        <w:rPr>
          <w:rFonts w:ascii="Bookman Old Style" w:eastAsia="Times New Roman" w:hAnsi="Bookman Old Style" w:cs="Segoe UI"/>
        </w:rPr>
        <w:t xml:space="preserve"> (articolo 108, par. 3 TFUE) e dei </w:t>
      </w:r>
      <w:r w:rsidRPr="2CB44FAE">
        <w:rPr>
          <w:rFonts w:ascii="Bookman Old Style" w:eastAsia="Times New Roman" w:hAnsi="Bookman Old Style" w:cs="Segoe UI"/>
          <w:b/>
          <w:bCs/>
        </w:rPr>
        <w:t xml:space="preserve">limiti previsti dalla </w:t>
      </w:r>
      <w:r w:rsidRPr="2CB44FAE">
        <w:rPr>
          <w:rFonts w:ascii="Bookman Old Style" w:eastAsia="Times New Roman" w:hAnsi="Bookman Old Style" w:cs="Segoe UI"/>
          <w:b/>
          <w:bCs/>
        </w:rPr>
        <w:lastRenderedPageBreak/>
        <w:t xml:space="preserve">Comunicazione della Commissione europea del 19 marzo 2020 </w:t>
      </w:r>
      <w:proofErr w:type="gramStart"/>
      <w:r w:rsidRPr="2CB44FAE">
        <w:rPr>
          <w:rFonts w:ascii="Bookman Old Style" w:eastAsia="Times New Roman" w:hAnsi="Bookman Old Style" w:cs="Segoe UI"/>
          <w:b/>
          <w:bCs/>
        </w:rPr>
        <w:t>C(</w:t>
      </w:r>
      <w:proofErr w:type="gramEnd"/>
      <w:r w:rsidRPr="2CB44FAE">
        <w:rPr>
          <w:rFonts w:ascii="Bookman Old Style" w:eastAsia="Times New Roman" w:hAnsi="Bookman Old Style" w:cs="Segoe UI"/>
          <w:b/>
          <w:bCs/>
        </w:rPr>
        <w:t xml:space="preserve">2020) 1863 </w:t>
      </w:r>
      <w:proofErr w:type="spellStart"/>
      <w:r w:rsidRPr="2CB44FAE">
        <w:rPr>
          <w:rFonts w:ascii="Bookman Old Style" w:eastAsia="Times New Roman" w:hAnsi="Bookman Old Style" w:cs="Segoe UI"/>
          <w:b/>
          <w:bCs/>
        </w:rPr>
        <w:t>final</w:t>
      </w:r>
      <w:proofErr w:type="spellEnd"/>
      <w:r w:rsidRPr="2CB44FAE">
        <w:rPr>
          <w:rFonts w:ascii="Bookman Old Style" w:eastAsia="Times New Roman" w:hAnsi="Bookman Old Style" w:cs="Segoe UI"/>
        </w:rPr>
        <w:t xml:space="preserve"> «Quadro temporaneo per le misure di aiuto di Stato a sostegno dell'economia nell'attuale emergenza del Covid-19</w:t>
      </w:r>
      <w:r w:rsidRPr="2CB44FAE">
        <w:rPr>
          <w:rFonts w:ascii="Bookman Old Style" w:eastAsia="Times New Roman" w:hAnsi="Bookman Old Style" w:cs="Bookman Old Style"/>
        </w:rPr>
        <w:t>».</w:t>
      </w:r>
    </w:p>
    <w:p w14:paraId="174A4C2E" w14:textId="77777777" w:rsidR="008B35CB" w:rsidRPr="00B369E2" w:rsidRDefault="008B35CB" w:rsidP="00277482">
      <w:pPr>
        <w:jc w:val="both"/>
        <w:textAlignment w:val="baseline"/>
        <w:rPr>
          <w:rFonts w:ascii="Bookman Old Style" w:eastAsia="Times New Roman" w:hAnsi="Bookman Old Style" w:cs="Bookman Old Style"/>
        </w:rPr>
      </w:pPr>
    </w:p>
    <w:p w14:paraId="269292BC" w14:textId="05BBA198" w:rsidR="00BB5457" w:rsidRDefault="00277482" w:rsidP="00277482">
      <w:pPr>
        <w:pStyle w:val="Titolo2"/>
        <w:numPr>
          <w:ilvl w:val="0"/>
          <w:numId w:val="1"/>
        </w:numPr>
        <w:spacing w:before="0" w:line="240" w:lineRule="auto"/>
        <w:jc w:val="both"/>
        <w:rPr>
          <w:rStyle w:val="Titolo2Carattere"/>
          <w:rFonts w:ascii="Bookman Old Style" w:hAnsi="Bookman Old Style"/>
          <w:b/>
          <w:bCs/>
          <w:i/>
          <w:iCs/>
          <w:color w:val="002060"/>
          <w:sz w:val="22"/>
          <w:szCs w:val="22"/>
        </w:rPr>
      </w:pPr>
      <w:r w:rsidRPr="00277482">
        <w:rPr>
          <w:rStyle w:val="Titolo2Carattere"/>
          <w:rFonts w:ascii="Bookman Old Style" w:hAnsi="Bookman Old Style"/>
          <w:b/>
          <w:bCs/>
          <w:i/>
          <w:iCs/>
          <w:color w:val="002060"/>
          <w:sz w:val="22"/>
          <w:szCs w:val="22"/>
        </w:rPr>
        <w:t>Misure di sostegno per il comparto teatrale</w:t>
      </w:r>
      <w:r w:rsidR="003403AF">
        <w:rPr>
          <w:rStyle w:val="Titolo2Carattere"/>
          <w:rFonts w:ascii="Bookman Old Style" w:hAnsi="Bookman Old Style"/>
          <w:b/>
          <w:bCs/>
          <w:i/>
          <w:iCs/>
          <w:color w:val="002060"/>
          <w:sz w:val="22"/>
          <w:szCs w:val="22"/>
        </w:rPr>
        <w:t xml:space="preserve"> (art.22-bis)</w:t>
      </w:r>
    </w:p>
    <w:p w14:paraId="0A32F7A0" w14:textId="77777777" w:rsidR="003403AF" w:rsidRPr="003403AF" w:rsidRDefault="003403AF" w:rsidP="003403AF">
      <w:pPr>
        <w:rPr>
          <w:lang w:eastAsia="en-US"/>
        </w:rPr>
      </w:pPr>
    </w:p>
    <w:p w14:paraId="31EEE5F5" w14:textId="21278F92" w:rsidR="003403AF" w:rsidRPr="003403AF" w:rsidRDefault="003403AF" w:rsidP="003403AF">
      <w:pPr>
        <w:jc w:val="both"/>
        <w:rPr>
          <w:rFonts w:ascii="Bookman Old Style" w:eastAsia="Times New Roman" w:hAnsi="Bookman Old Style" w:cs="Segoe UI"/>
        </w:rPr>
      </w:pPr>
      <w:r>
        <w:rPr>
          <w:rFonts w:ascii="Bookman Old Style" w:eastAsia="Times New Roman" w:hAnsi="Bookman Old Style" w:cs="Segoe UI"/>
        </w:rPr>
        <w:t>La norma</w:t>
      </w:r>
      <w:r w:rsidRPr="003403AF">
        <w:rPr>
          <w:rFonts w:ascii="Bookman Old Style" w:eastAsia="Times New Roman" w:hAnsi="Bookman Old Style" w:cs="Segoe UI"/>
        </w:rPr>
        <w:t xml:space="preserve"> prevede la sospensione, per i</w:t>
      </w:r>
      <w:r>
        <w:rPr>
          <w:rFonts w:ascii="Bookman Old Style" w:eastAsia="Times New Roman" w:hAnsi="Bookman Old Style" w:cs="Segoe UI"/>
        </w:rPr>
        <w:t xml:space="preserve"> </w:t>
      </w:r>
      <w:r w:rsidRPr="003403AF">
        <w:rPr>
          <w:rFonts w:ascii="Bookman Old Style" w:eastAsia="Times New Roman" w:hAnsi="Bookman Old Style" w:cs="Segoe UI"/>
        </w:rPr>
        <w:t xml:space="preserve">soggetti che gestiscono teatri, sale da concerto e altre strutture artistiche, di cui al codice Ateco 90.04.00, dei termini relativi al versamento delle trattenute relative all’addizionale regionale e comunale che i già menzionati soggetti operano in qualità di sostituti d’imposta nei mesi di aprile, maggio e giugno 2022. </w:t>
      </w:r>
    </w:p>
    <w:p w14:paraId="34F8C909" w14:textId="77777777" w:rsidR="003403AF" w:rsidRPr="003403AF" w:rsidRDefault="003403AF" w:rsidP="003403AF">
      <w:pPr>
        <w:jc w:val="both"/>
        <w:rPr>
          <w:rFonts w:ascii="Bookman Old Style" w:eastAsia="Times New Roman" w:hAnsi="Bookman Old Style" w:cs="Segoe UI"/>
        </w:rPr>
      </w:pPr>
      <w:r w:rsidRPr="003403AF">
        <w:rPr>
          <w:rFonts w:ascii="Bookman Old Style" w:eastAsia="Times New Roman" w:hAnsi="Bookman Old Style" w:cs="Segoe UI"/>
        </w:rPr>
        <w:t xml:space="preserve">Il comma 2 precisa che i versamenti sospesi ai sensi del comma 1 andranno effettuati, senza sanzioni e interessi, in un’unica soluzione entro il 16 novembre 2022. </w:t>
      </w:r>
    </w:p>
    <w:p w14:paraId="48817611" w14:textId="5718D1DF" w:rsidR="003403AF" w:rsidRDefault="003403AF" w:rsidP="003403AF">
      <w:pPr>
        <w:rPr>
          <w:lang w:eastAsia="en-US"/>
        </w:rPr>
      </w:pPr>
    </w:p>
    <w:p w14:paraId="6E384DA6" w14:textId="598A5ED9" w:rsidR="003403AF" w:rsidRDefault="003403AF" w:rsidP="003403AF">
      <w:pPr>
        <w:pStyle w:val="Titolo2"/>
        <w:numPr>
          <w:ilvl w:val="0"/>
          <w:numId w:val="1"/>
        </w:numPr>
        <w:spacing w:before="0" w:line="240" w:lineRule="auto"/>
        <w:jc w:val="both"/>
        <w:rPr>
          <w:rStyle w:val="Titolo2Carattere"/>
          <w:rFonts w:ascii="Bookman Old Style" w:hAnsi="Bookman Old Style"/>
          <w:b/>
          <w:bCs/>
          <w:i/>
          <w:iCs/>
          <w:color w:val="002060"/>
          <w:sz w:val="22"/>
          <w:szCs w:val="22"/>
        </w:rPr>
      </w:pPr>
      <w:r w:rsidRPr="003403AF">
        <w:rPr>
          <w:rStyle w:val="Titolo2Carattere"/>
          <w:rFonts w:ascii="Bookman Old Style" w:hAnsi="Bookman Old Style"/>
          <w:b/>
          <w:bCs/>
          <w:i/>
          <w:iCs/>
          <w:color w:val="002060"/>
          <w:sz w:val="22"/>
          <w:szCs w:val="22"/>
        </w:rPr>
        <w:t>Disposizioni in materia di iscrizione a ruolo</w:t>
      </w:r>
      <w:r>
        <w:rPr>
          <w:rStyle w:val="Titolo2Carattere"/>
          <w:rFonts w:ascii="Bookman Old Style" w:hAnsi="Bookman Old Style"/>
          <w:b/>
          <w:bCs/>
          <w:i/>
          <w:iCs/>
          <w:color w:val="002060"/>
          <w:sz w:val="22"/>
          <w:szCs w:val="22"/>
        </w:rPr>
        <w:t xml:space="preserve"> (art.37-quater)</w:t>
      </w:r>
    </w:p>
    <w:p w14:paraId="2C659023" w14:textId="77777777" w:rsidR="003403AF" w:rsidRPr="003403AF" w:rsidRDefault="003403AF" w:rsidP="003403AF">
      <w:pPr>
        <w:rPr>
          <w:lang w:eastAsia="en-US"/>
        </w:rPr>
      </w:pPr>
    </w:p>
    <w:p w14:paraId="2BF10A6D" w14:textId="4F57585E" w:rsidR="003403AF" w:rsidRPr="003403AF" w:rsidRDefault="003403AF" w:rsidP="003403AF">
      <w:pPr>
        <w:jc w:val="both"/>
        <w:rPr>
          <w:rFonts w:ascii="Bookman Old Style" w:eastAsia="Times New Roman" w:hAnsi="Bookman Old Style" w:cs="Segoe UI"/>
        </w:rPr>
      </w:pPr>
      <w:r w:rsidRPr="003403AF">
        <w:rPr>
          <w:rFonts w:ascii="Bookman Old Style" w:eastAsia="Times New Roman" w:hAnsi="Bookman Old Style" w:cs="Segoe UI"/>
        </w:rPr>
        <w:t xml:space="preserve">L’articolo prolunga i termini entro cui è possibile pagare le imposte dovute evitando l’iscrizione a ruolo, che passa da 30 a 60 giorni (il termine di 30 giorni è quello previsto dal comma 2, art.2, del decreto legislativo n.462 del 1997). </w:t>
      </w:r>
      <w:r w:rsidRPr="003403AF">
        <w:rPr>
          <w:rFonts w:ascii="Bookman Old Style" w:eastAsia="Times New Roman" w:hAnsi="Bookman Old Style" w:cs="Segoe UI"/>
          <w:b/>
          <w:bCs/>
        </w:rPr>
        <w:t>Si precisa che la disposizione riguarda l’iscrizione a ruolo delle somme che, a seguito dei controlli automatici, ovvero dei controlli eseguiti dagli uffici, effettuati dall’Agenzia delle entrate</w:t>
      </w:r>
      <w:r w:rsidRPr="003403AF">
        <w:rPr>
          <w:rFonts w:ascii="Bookman Old Style" w:eastAsia="Times New Roman" w:hAnsi="Bookman Old Style" w:cs="Segoe UI"/>
        </w:rPr>
        <w:t xml:space="preserve"> ai sensi degli articoli 36-bis del decreto del Presidente della Repubblica 29 settembre 1973, n. 600, e 54-bis del decreto del Presidente della Repubblica 29 settembre 1972, n. 633, risultano dovute a titolo d'imposta, ritenute, contributi e premi o di minori crediti già utilizzati, nonché di interessi e di sanzioni per ritardato o omesso versamento, sono iscritte direttamente nei ruoli a titolo definitivo</w:t>
      </w:r>
    </w:p>
    <w:p w14:paraId="5929C3A6" w14:textId="39378A94" w:rsidR="003403AF" w:rsidRPr="003403AF" w:rsidRDefault="003403AF" w:rsidP="003403AF">
      <w:pPr>
        <w:jc w:val="both"/>
        <w:rPr>
          <w:rFonts w:ascii="Bookman Old Style" w:eastAsia="Times New Roman" w:hAnsi="Bookman Old Style" w:cs="Segoe UI"/>
        </w:rPr>
      </w:pPr>
      <w:r>
        <w:rPr>
          <w:rFonts w:ascii="Bookman Old Style" w:eastAsia="Times New Roman" w:hAnsi="Bookman Old Style" w:cs="Segoe UI"/>
        </w:rPr>
        <w:t>Si</w:t>
      </w:r>
      <w:r w:rsidRPr="003403AF">
        <w:rPr>
          <w:rFonts w:ascii="Bookman Old Style" w:eastAsia="Times New Roman" w:hAnsi="Bookman Old Style" w:cs="Segoe UI"/>
        </w:rPr>
        <w:t xml:space="preserve"> precisa, inoltre, che l’agevolazione è provvisoria e si applica solo per il periodo di tempo compreso tra l’entrata in vigore della legge di conversione del decreto in questione e il 31 agosto 2022. </w:t>
      </w:r>
    </w:p>
    <w:p w14:paraId="32439F28" w14:textId="77777777" w:rsidR="003403AF" w:rsidRPr="003403AF" w:rsidRDefault="003403AF" w:rsidP="003403AF">
      <w:pPr>
        <w:jc w:val="both"/>
        <w:rPr>
          <w:rFonts w:ascii="Bookman Old Style" w:eastAsia="Times New Roman" w:hAnsi="Bookman Old Style" w:cs="Segoe UI"/>
        </w:rPr>
      </w:pPr>
    </w:p>
    <w:p w14:paraId="673D91ED" w14:textId="5DD17FFD" w:rsidR="003403AF" w:rsidRPr="003403AF" w:rsidRDefault="003403AF" w:rsidP="003403AF">
      <w:pPr>
        <w:jc w:val="both"/>
        <w:rPr>
          <w:rFonts w:ascii="Bookman Old Style" w:eastAsia="Times New Roman" w:hAnsi="Bookman Old Style" w:cs="Segoe UI"/>
        </w:rPr>
      </w:pPr>
      <w:r w:rsidRPr="003403AF">
        <w:rPr>
          <w:rFonts w:ascii="Bookman Old Style" w:eastAsia="Times New Roman" w:hAnsi="Bookman Old Style" w:cs="Segoe UI"/>
        </w:rPr>
        <w:t>Il richiamato comma 2, art. 2</w:t>
      </w:r>
      <w:r>
        <w:rPr>
          <w:rFonts w:ascii="Bookman Old Style" w:eastAsia="Times New Roman" w:hAnsi="Bookman Old Style" w:cs="Segoe UI"/>
        </w:rPr>
        <w:t xml:space="preserve"> del d. lgs 42/1997</w:t>
      </w:r>
      <w:r w:rsidRPr="003403AF">
        <w:rPr>
          <w:rFonts w:ascii="Bookman Old Style" w:eastAsia="Times New Roman" w:hAnsi="Bookman Old Style" w:cs="Segoe UI"/>
        </w:rPr>
        <w:t>, stabilisce che l’iscrizione a ruolo non è eseguita, in tutto o in parte, se il contribuente o il sostituto d’imposta provvedono a pagare le somme dovute entro 30 giorni dal ricevimento della comunicazione ovvero dalla comunicazione definitiva contenente la rideterminazione in sede di autotutela delle somme dovute, a seguito dei chiarimenti forniti dal contribuente o dal sostituto d’imposta.</w:t>
      </w:r>
    </w:p>
    <w:p w14:paraId="0D66D8DD" w14:textId="77777777" w:rsidR="003403AF" w:rsidRPr="003403AF" w:rsidRDefault="003403AF" w:rsidP="003403AF">
      <w:pPr>
        <w:rPr>
          <w:lang w:eastAsia="en-US"/>
        </w:rPr>
      </w:pPr>
    </w:p>
    <w:p w14:paraId="51B81A6D" w14:textId="77777777" w:rsidR="00277482" w:rsidRPr="00777CB4" w:rsidRDefault="00277482" w:rsidP="00504C76">
      <w:pPr>
        <w:jc w:val="both"/>
        <w:rPr>
          <w:rFonts w:ascii="Bookman Old Style" w:hAnsi="Bookman Old Style" w:cstheme="minorBidi"/>
          <w:b/>
          <w:bCs/>
          <w:color w:val="002060"/>
          <w:lang w:eastAsia="en-US"/>
        </w:rPr>
      </w:pPr>
    </w:p>
    <w:p w14:paraId="0A55403B" w14:textId="4A0BC745" w:rsidR="00BB5457" w:rsidRPr="00777CB4" w:rsidRDefault="00BF25FC" w:rsidP="00BB5457">
      <w:pPr>
        <w:shd w:val="clear" w:color="auto" w:fill="FFFFFF"/>
        <w:jc w:val="both"/>
        <w:rPr>
          <w:rFonts w:ascii="Bookman Old Style" w:hAnsi="Bookman Old Style"/>
          <w:b/>
          <w:bCs/>
          <w:color w:val="002060"/>
          <w:shd w:val="clear" w:color="auto" w:fill="FFFFFF"/>
        </w:rPr>
      </w:pPr>
      <w:r w:rsidRPr="00777CB4">
        <w:rPr>
          <w:rFonts w:ascii="Bookman Old Style" w:hAnsi="Bookman Old Style"/>
          <w:b/>
          <w:bCs/>
          <w:color w:val="002060"/>
          <w:shd w:val="clear" w:color="auto" w:fill="FFFFFF"/>
        </w:rPr>
        <w:t>INTER</w:t>
      </w:r>
      <w:r w:rsidR="00C2326B" w:rsidRPr="00777CB4">
        <w:rPr>
          <w:rFonts w:ascii="Bookman Old Style" w:hAnsi="Bookman Old Style"/>
          <w:b/>
          <w:bCs/>
          <w:color w:val="002060"/>
          <w:shd w:val="clear" w:color="auto" w:fill="FFFFFF"/>
        </w:rPr>
        <w:t>V</w:t>
      </w:r>
      <w:r w:rsidRPr="00777CB4">
        <w:rPr>
          <w:rFonts w:ascii="Bookman Old Style" w:hAnsi="Bookman Old Style"/>
          <w:b/>
          <w:bCs/>
          <w:color w:val="002060"/>
          <w:shd w:val="clear" w:color="auto" w:fill="FFFFFF"/>
        </w:rPr>
        <w:t>ENTI SUPERB</w:t>
      </w:r>
      <w:r w:rsidR="00C2326B" w:rsidRPr="00777CB4">
        <w:rPr>
          <w:rFonts w:ascii="Bookman Old Style" w:hAnsi="Bookman Old Style"/>
          <w:b/>
          <w:bCs/>
          <w:color w:val="002060"/>
          <w:shd w:val="clear" w:color="auto" w:fill="FFFFFF"/>
        </w:rPr>
        <w:t>ONUS</w:t>
      </w:r>
    </w:p>
    <w:p w14:paraId="038DC837" w14:textId="77777777" w:rsidR="00BB5457" w:rsidRPr="00777CB4" w:rsidRDefault="00BB5457" w:rsidP="00BB5457">
      <w:pPr>
        <w:shd w:val="clear" w:color="auto" w:fill="FFFFFF"/>
        <w:jc w:val="both"/>
        <w:rPr>
          <w:rFonts w:ascii="Bookman Old Style" w:hAnsi="Bookman Old Style"/>
          <w:color w:val="000000"/>
          <w:shd w:val="clear" w:color="auto" w:fill="FFFFFF"/>
        </w:rPr>
      </w:pPr>
    </w:p>
    <w:p w14:paraId="7146A2F8" w14:textId="77777777" w:rsidR="00BB5457" w:rsidRPr="00777CB4" w:rsidRDefault="00BB5457" w:rsidP="00BB5457">
      <w:pPr>
        <w:pStyle w:val="Paragrafoelenco"/>
        <w:numPr>
          <w:ilvl w:val="0"/>
          <w:numId w:val="1"/>
        </w:numPr>
        <w:autoSpaceDE w:val="0"/>
        <w:autoSpaceDN w:val="0"/>
        <w:adjustRightInd w:val="0"/>
        <w:jc w:val="both"/>
        <w:rPr>
          <w:rFonts w:ascii="Bookman Old Style" w:hAnsi="Bookman Old Style" w:cs="Times New Roman"/>
          <w:b/>
          <w:bCs/>
          <w:i/>
          <w:iCs/>
          <w:color w:val="002060"/>
        </w:rPr>
      </w:pPr>
      <w:r w:rsidRPr="00777CB4">
        <w:rPr>
          <w:rFonts w:ascii="Bookman Old Style" w:hAnsi="Bookman Old Style" w:cs="Times New Roman"/>
          <w:b/>
          <w:bCs/>
          <w:i/>
          <w:iCs/>
          <w:color w:val="002060"/>
        </w:rPr>
        <w:t>Qualificazione delle imprese al fine di accedere al superbonus (Art. 10 bis)</w:t>
      </w:r>
    </w:p>
    <w:p w14:paraId="3DE6FEC0" w14:textId="77777777" w:rsidR="00BB5457" w:rsidRPr="00777CB4" w:rsidRDefault="00BB5457" w:rsidP="00BB5457">
      <w:pPr>
        <w:autoSpaceDE w:val="0"/>
        <w:autoSpaceDN w:val="0"/>
        <w:adjustRightInd w:val="0"/>
        <w:jc w:val="both"/>
        <w:rPr>
          <w:rFonts w:ascii="Bookman Old Style" w:hAnsi="Bookman Old Style" w:cs="Times New Roman"/>
          <w:i/>
          <w:iCs/>
        </w:rPr>
      </w:pPr>
    </w:p>
    <w:p w14:paraId="21CFFD98" w14:textId="01C544B3" w:rsidR="002402FE" w:rsidRPr="00777CB4" w:rsidRDefault="00BB5457" w:rsidP="00BB5457">
      <w:pPr>
        <w:autoSpaceDE w:val="0"/>
        <w:autoSpaceDN w:val="0"/>
        <w:adjustRightInd w:val="0"/>
        <w:jc w:val="both"/>
        <w:rPr>
          <w:rFonts w:ascii="Bookman Old Style" w:hAnsi="Bookman Old Style"/>
        </w:rPr>
      </w:pPr>
      <w:r w:rsidRPr="00777CB4">
        <w:rPr>
          <w:rFonts w:ascii="Bookman Old Style" w:hAnsi="Bookman Old Style" w:cs="Times New Roman"/>
          <w:b/>
          <w:bCs/>
        </w:rPr>
        <w:t xml:space="preserve">La norma </w:t>
      </w:r>
      <w:r w:rsidRPr="00777CB4">
        <w:rPr>
          <w:rFonts w:ascii="Bookman Old Style" w:hAnsi="Bookman Old Style" w:cs="Times New Roman"/>
        </w:rPr>
        <w:t xml:space="preserve">prevede che a </w:t>
      </w:r>
      <w:r w:rsidRPr="00777CB4">
        <w:rPr>
          <w:rFonts w:ascii="Bookman Old Style" w:hAnsi="Bookman Old Style" w:cs="Times New Roman"/>
          <w:b/>
          <w:bCs/>
        </w:rPr>
        <w:t xml:space="preserve">decorrere dal 1° gennaio 2023 e fino al 30 giugno 2023, </w:t>
      </w:r>
      <w:r w:rsidR="009C73EE" w:rsidRPr="00777CB4">
        <w:rPr>
          <w:rFonts w:ascii="Bookman Old Style" w:hAnsi="Bookman Old Style"/>
        </w:rPr>
        <w:t xml:space="preserve">nel caso di </w:t>
      </w:r>
      <w:r w:rsidR="009C73EE" w:rsidRPr="00777CB4">
        <w:rPr>
          <w:rFonts w:ascii="Bookman Old Style" w:hAnsi="Bookman Old Style"/>
          <w:b/>
          <w:bCs/>
        </w:rPr>
        <w:t>realizzazione di lavori che abbiano un importo superiore a 516.000 euro e per i quali viene richiesta la possibilità di accedere al meccanismo degli incentivi del 110%</w:t>
      </w:r>
      <w:r w:rsidR="009C73EE" w:rsidRPr="00777CB4">
        <w:rPr>
          <w:rFonts w:ascii="Bookman Old Style" w:hAnsi="Bookman Old Style"/>
        </w:rPr>
        <w:t>, di cui al decreto-legge n. 34 del 2020 (</w:t>
      </w:r>
      <w:r w:rsidR="00760F02" w:rsidRPr="00777CB4">
        <w:rPr>
          <w:rFonts w:ascii="Bookman Old Style" w:hAnsi="Bookman Old Style"/>
        </w:rPr>
        <w:t xml:space="preserve">cd </w:t>
      </w:r>
      <w:r w:rsidRPr="00777CB4">
        <w:rPr>
          <w:rFonts w:ascii="Bookman Old Style" w:hAnsi="Bookman Old Style" w:cs="Times New Roman"/>
        </w:rPr>
        <w:t>Superbonus</w:t>
      </w:r>
      <w:r w:rsidR="009C73EE" w:rsidRPr="00777CB4">
        <w:rPr>
          <w:rFonts w:ascii="Bookman Old Style" w:hAnsi="Bookman Old Style" w:cs="Times New Roman"/>
        </w:rPr>
        <w:t>)</w:t>
      </w:r>
      <w:r w:rsidRPr="00777CB4">
        <w:rPr>
          <w:rFonts w:ascii="Bookman Old Style" w:hAnsi="Bookman Old Style" w:cs="Times New Roman"/>
        </w:rPr>
        <w:t xml:space="preserve">, </w:t>
      </w:r>
      <w:r w:rsidR="009C73EE" w:rsidRPr="00777CB4">
        <w:rPr>
          <w:rFonts w:ascii="Bookman Old Style" w:hAnsi="Bookman Old Style"/>
        </w:rPr>
        <w:t xml:space="preserve">le imprese esecutrici debbono essere in possesso </w:t>
      </w:r>
      <w:r w:rsidR="002402FE" w:rsidRPr="00777CB4">
        <w:rPr>
          <w:rFonts w:ascii="Bookman Old Style" w:hAnsi="Bookman Old Style"/>
        </w:rPr>
        <w:t>del</w:t>
      </w:r>
      <w:r w:rsidRPr="00777CB4">
        <w:rPr>
          <w:rFonts w:ascii="Bookman Old Style" w:hAnsi="Bookman Old Style" w:cs="Times New Roman"/>
        </w:rPr>
        <w:t>l’attestato Soa.</w:t>
      </w:r>
      <w:r w:rsidR="00797425" w:rsidRPr="00777CB4">
        <w:rPr>
          <w:rFonts w:ascii="Bookman Old Style" w:hAnsi="Bookman Old Style"/>
        </w:rPr>
        <w:t xml:space="preserve"> </w:t>
      </w:r>
    </w:p>
    <w:p w14:paraId="4EBF4C82" w14:textId="25FDA79A" w:rsidR="00BB5457" w:rsidRPr="00777CB4" w:rsidRDefault="00BB5457" w:rsidP="00BB5457">
      <w:pPr>
        <w:autoSpaceDE w:val="0"/>
        <w:autoSpaceDN w:val="0"/>
        <w:adjustRightInd w:val="0"/>
        <w:jc w:val="both"/>
        <w:rPr>
          <w:rFonts w:ascii="Bookman Old Style" w:hAnsi="Bookman Old Style" w:cs="Times New Roman"/>
        </w:rPr>
      </w:pPr>
      <w:r w:rsidRPr="00777CB4">
        <w:rPr>
          <w:rFonts w:ascii="Bookman Old Style" w:hAnsi="Bookman Old Style" w:cs="Times New Roman"/>
        </w:rPr>
        <w:t xml:space="preserve">Le disposizioni di tale norma non si applicano ai lavori in corso di esecuzione alla data di entrata in vigore della presente disposizione, nonché ai contratti di appalto o di subappalto aventi data certa, ai sensi dell'articolo 2704 del </w:t>
      </w:r>
      <w:proofErr w:type="gramStart"/>
      <w:r w:rsidRPr="00777CB4">
        <w:rPr>
          <w:rFonts w:ascii="Bookman Old Style" w:hAnsi="Bookman Old Style" w:cs="Times New Roman"/>
        </w:rPr>
        <w:t>codice civile</w:t>
      </w:r>
      <w:proofErr w:type="gramEnd"/>
      <w:r w:rsidRPr="00777CB4">
        <w:rPr>
          <w:rFonts w:ascii="Bookman Old Style" w:hAnsi="Bookman Old Style" w:cs="Times New Roman"/>
        </w:rPr>
        <w:t>, anteriore alla data di entrata di entrata in vigore della presente disposizione.</w:t>
      </w:r>
    </w:p>
    <w:p w14:paraId="1BE6EBF9" w14:textId="77777777" w:rsidR="00BB5457" w:rsidRPr="00777CB4" w:rsidRDefault="00BB5457" w:rsidP="00BB5457">
      <w:pPr>
        <w:shd w:val="clear" w:color="auto" w:fill="FFFFFF"/>
        <w:jc w:val="both"/>
        <w:rPr>
          <w:rFonts w:ascii="Bookman Old Style" w:hAnsi="Bookman Old Style"/>
          <w:b/>
          <w:bCs/>
          <w:color w:val="002060"/>
          <w:shd w:val="clear" w:color="auto" w:fill="FFFFFF"/>
        </w:rPr>
      </w:pPr>
    </w:p>
    <w:p w14:paraId="53A576CA" w14:textId="77777777" w:rsidR="006D68FE" w:rsidRPr="00777CB4" w:rsidRDefault="006D68FE" w:rsidP="00BB5457">
      <w:pPr>
        <w:jc w:val="both"/>
        <w:rPr>
          <w:rFonts w:ascii="Bookman Old Style" w:hAnsi="Bookman Old Style"/>
          <w:b/>
          <w:bCs/>
          <w:color w:val="002060"/>
        </w:rPr>
      </w:pPr>
    </w:p>
    <w:p w14:paraId="3D3AD8FE" w14:textId="77777777" w:rsidR="000952CA" w:rsidRPr="00777CB4" w:rsidRDefault="000952CA" w:rsidP="008B35CB">
      <w:pPr>
        <w:keepNext/>
        <w:jc w:val="both"/>
        <w:rPr>
          <w:rFonts w:ascii="Bookman Old Style" w:hAnsi="Bookman Old Style"/>
          <w:b/>
          <w:bCs/>
          <w:color w:val="002060"/>
        </w:rPr>
      </w:pPr>
      <w:r w:rsidRPr="00777CB4">
        <w:rPr>
          <w:rFonts w:ascii="Bookman Old Style" w:hAnsi="Bookman Old Style"/>
          <w:b/>
          <w:bCs/>
          <w:color w:val="002060"/>
        </w:rPr>
        <w:lastRenderedPageBreak/>
        <w:t>ACCOGLIENZA</w:t>
      </w:r>
    </w:p>
    <w:p w14:paraId="15A35AC6" w14:textId="77777777" w:rsidR="000952CA" w:rsidRPr="00777CB4" w:rsidRDefault="000952CA" w:rsidP="008B35CB">
      <w:pPr>
        <w:keepNext/>
        <w:jc w:val="both"/>
        <w:rPr>
          <w:rFonts w:ascii="Bookman Old Style" w:hAnsi="Bookman Old Style"/>
        </w:rPr>
      </w:pPr>
    </w:p>
    <w:p w14:paraId="36DE10E2" w14:textId="094D5047" w:rsidR="000952CA" w:rsidRPr="00777CB4" w:rsidRDefault="000952CA" w:rsidP="008B35CB">
      <w:pPr>
        <w:pStyle w:val="Paragrafoelenco"/>
        <w:keepNext/>
        <w:numPr>
          <w:ilvl w:val="0"/>
          <w:numId w:val="3"/>
        </w:numPr>
        <w:shd w:val="clear" w:color="auto" w:fill="FFFFFF"/>
        <w:jc w:val="both"/>
        <w:rPr>
          <w:rFonts w:ascii="Bookman Old Style" w:hAnsi="Bookman Old Style"/>
          <w:b/>
          <w:bCs/>
          <w:i/>
          <w:iCs/>
          <w:color w:val="002060"/>
        </w:rPr>
      </w:pPr>
      <w:r w:rsidRPr="00777CB4">
        <w:rPr>
          <w:rFonts w:ascii="Bookman Old Style" w:hAnsi="Bookman Old Style"/>
          <w:b/>
          <w:bCs/>
          <w:i/>
          <w:iCs/>
          <w:color w:val="002060"/>
        </w:rPr>
        <w:t>Coordinamento delle attività di assistenza e accoglienza a seguito della crisi ucraina</w:t>
      </w:r>
      <w:r w:rsidR="00087F1F" w:rsidRPr="00777CB4">
        <w:rPr>
          <w:rFonts w:ascii="Bookman Old Style" w:hAnsi="Bookman Old Style"/>
          <w:b/>
          <w:bCs/>
          <w:i/>
          <w:iCs/>
          <w:color w:val="002060"/>
        </w:rPr>
        <w:t xml:space="preserve"> (</w:t>
      </w:r>
      <w:r w:rsidRPr="00777CB4">
        <w:rPr>
          <w:rFonts w:ascii="Bookman Old Style" w:hAnsi="Bookman Old Style"/>
          <w:b/>
          <w:bCs/>
          <w:i/>
          <w:iCs/>
          <w:color w:val="002060"/>
        </w:rPr>
        <w:t>Art. 31</w:t>
      </w:r>
      <w:r w:rsidR="00087F1F" w:rsidRPr="00777CB4">
        <w:rPr>
          <w:rFonts w:ascii="Bookman Old Style" w:hAnsi="Bookman Old Style"/>
          <w:b/>
          <w:bCs/>
          <w:i/>
          <w:iCs/>
          <w:color w:val="002060"/>
        </w:rPr>
        <w:t>)</w:t>
      </w:r>
    </w:p>
    <w:p w14:paraId="003A755D" w14:textId="77777777" w:rsidR="000952CA" w:rsidRPr="00777CB4" w:rsidRDefault="000952CA" w:rsidP="008B35CB">
      <w:pPr>
        <w:pStyle w:val="Paragrafoelenco"/>
        <w:keepNext/>
        <w:shd w:val="clear" w:color="auto" w:fill="FFFFFF"/>
        <w:jc w:val="both"/>
        <w:rPr>
          <w:rFonts w:ascii="Bookman Old Style" w:hAnsi="Bookman Old Style"/>
          <w:b/>
          <w:bCs/>
          <w:i/>
          <w:iCs/>
        </w:rPr>
      </w:pPr>
    </w:p>
    <w:p w14:paraId="701A9E23" w14:textId="676D85A5" w:rsidR="001D1A21" w:rsidRPr="001D1A21" w:rsidRDefault="001D1A21" w:rsidP="001D1A21">
      <w:pPr>
        <w:shd w:val="clear" w:color="auto" w:fill="FFFFFF"/>
        <w:jc w:val="both"/>
        <w:rPr>
          <w:rFonts w:ascii="Bookman Old Style" w:hAnsi="Bookman Old Style"/>
        </w:rPr>
      </w:pPr>
      <w:r w:rsidRPr="001D1A21">
        <w:rPr>
          <w:rFonts w:ascii="Bookman Old Style" w:hAnsi="Bookman Old Style"/>
        </w:rPr>
        <w:t xml:space="preserve">La norma contiene alcune disposizioni per potenziare le misure di assistenza ed accoglienza in conseguenza del conflitto bellico in Ucraina, a seguito dell’attivazione del meccanismo europeo di protezione temporanea. Tali misure, che si aggiungono a quelle già adottate a seguito della deliberazione dello stato in emergenza, prevedono: </w:t>
      </w:r>
    </w:p>
    <w:p w14:paraId="4831909D" w14:textId="523EA956" w:rsidR="001D1A21" w:rsidRPr="001D1A21" w:rsidRDefault="001D1A21" w:rsidP="001D1A21">
      <w:pPr>
        <w:pStyle w:val="Paragrafoelenco"/>
        <w:numPr>
          <w:ilvl w:val="0"/>
          <w:numId w:val="14"/>
        </w:numPr>
        <w:shd w:val="clear" w:color="auto" w:fill="FFFFFF"/>
        <w:contextualSpacing w:val="0"/>
        <w:jc w:val="both"/>
        <w:rPr>
          <w:rFonts w:ascii="Bookman Old Style" w:hAnsi="Bookman Old Style"/>
        </w:rPr>
      </w:pPr>
      <w:r w:rsidRPr="001D1A21">
        <w:rPr>
          <w:rFonts w:ascii="Bookman Old Style" w:hAnsi="Bookman Old Style"/>
        </w:rPr>
        <w:t>l’attivazione di una modalità di assistenza diffusa affidata</w:t>
      </w:r>
      <w:r w:rsidRPr="001D1A21">
        <w:rPr>
          <w:rFonts w:ascii="Bookman Old Style" w:hAnsi="Bookman Old Style"/>
          <w:b/>
          <w:bCs/>
        </w:rPr>
        <w:t xml:space="preserve"> </w:t>
      </w:r>
      <w:r w:rsidRPr="001D1A21">
        <w:rPr>
          <w:rFonts w:ascii="Bookman Old Style" w:hAnsi="Bookman Old Style"/>
        </w:rPr>
        <w:t xml:space="preserve">ad Associazioni del terzo settore per garantire </w:t>
      </w:r>
      <w:r w:rsidRPr="001D1A21">
        <w:rPr>
          <w:rFonts w:ascii="Bookman Old Style" w:hAnsi="Bookman Old Style"/>
          <w:b/>
          <w:bCs/>
        </w:rPr>
        <w:t>l’accoglienza fino a 15.000 persone</w:t>
      </w:r>
      <w:r w:rsidRPr="001D1A21">
        <w:rPr>
          <w:rFonts w:ascii="Bookman Old Style" w:hAnsi="Bookman Old Style"/>
        </w:rPr>
        <w:t xml:space="preserve">. Viene stabilito che tali attività sono realizzate, nei limiti delle risorse stanziate per tale finalità e fermo restando </w:t>
      </w:r>
      <w:r w:rsidRPr="001D1A21">
        <w:rPr>
          <w:rFonts w:ascii="Bookman Old Style" w:hAnsi="Bookman Old Style"/>
          <w:b/>
          <w:bCs/>
        </w:rPr>
        <w:t xml:space="preserve">il ricorso ad accordi di partenariato con i Comuni sul cui territorio si attuerà l’accoglienza, </w:t>
      </w:r>
      <w:r w:rsidRPr="001D1A21">
        <w:rPr>
          <w:rFonts w:ascii="Bookman Old Style" w:hAnsi="Bookman Old Style"/>
        </w:rPr>
        <w:t>allegati ad apposite convenzioni sottoscritte</w:t>
      </w:r>
      <w:r w:rsidRPr="001D1A21">
        <w:rPr>
          <w:rFonts w:ascii="Bookman Old Style" w:hAnsi="Bookman Old Style"/>
          <w:b/>
          <w:bCs/>
        </w:rPr>
        <w:t xml:space="preserve"> </w:t>
      </w:r>
      <w:r w:rsidRPr="001D1A21">
        <w:rPr>
          <w:rFonts w:ascii="Bookman Old Style" w:hAnsi="Bookman Old Style"/>
        </w:rPr>
        <w:t xml:space="preserve">dal Dipartimento della protezione civile, dal Ministero del lavoro e delle politiche sociali, dalla Conferenza delle regioni e province autonome </w:t>
      </w:r>
      <w:r w:rsidRPr="001D1A21">
        <w:rPr>
          <w:rFonts w:ascii="Bookman Old Style" w:hAnsi="Bookman Old Style"/>
          <w:b/>
          <w:bCs/>
        </w:rPr>
        <w:t>e dall’ANCI con soggetti che dimostrino, oltre agli altri requisiti previsti, anche di non aver riportato condanne e non aver in corso processi penali per una serie specifica di reati e di non essere destinatari di una misura di prevenzione</w:t>
      </w:r>
      <w:r w:rsidRPr="001D1A21">
        <w:rPr>
          <w:rFonts w:ascii="Bookman Old Style" w:hAnsi="Bookman Old Style"/>
        </w:rPr>
        <w:t xml:space="preserve"> (c. 1 lettera a)</w:t>
      </w:r>
    </w:p>
    <w:p w14:paraId="755BD83E" w14:textId="0BC1F874" w:rsidR="0006655A" w:rsidRPr="00777CB4" w:rsidRDefault="0006655A" w:rsidP="000952CA">
      <w:pPr>
        <w:shd w:val="clear" w:color="auto" w:fill="FFFFFF"/>
        <w:jc w:val="both"/>
        <w:rPr>
          <w:rFonts w:ascii="Bookman Old Style" w:hAnsi="Bookman Old Style"/>
        </w:rPr>
      </w:pPr>
    </w:p>
    <w:p w14:paraId="2B653808" w14:textId="77777777" w:rsidR="005E325A" w:rsidRPr="00777CB4" w:rsidRDefault="005E325A" w:rsidP="000952CA">
      <w:pPr>
        <w:shd w:val="clear" w:color="auto" w:fill="FFFFFF"/>
        <w:jc w:val="both"/>
        <w:rPr>
          <w:rFonts w:ascii="Bookman Old Style" w:hAnsi="Bookman Old Style"/>
        </w:rPr>
      </w:pPr>
    </w:p>
    <w:p w14:paraId="1D7CA377" w14:textId="5F38B35B" w:rsidR="000952CA" w:rsidRPr="00777CB4" w:rsidRDefault="000952CA" w:rsidP="000952CA">
      <w:pPr>
        <w:keepNext/>
        <w:keepLines/>
        <w:numPr>
          <w:ilvl w:val="0"/>
          <w:numId w:val="9"/>
        </w:numPr>
        <w:jc w:val="both"/>
        <w:outlineLvl w:val="1"/>
        <w:rPr>
          <w:rFonts w:ascii="Bookman Old Style" w:eastAsia="Calibri" w:hAnsi="Bookman Old Style" w:cs="Times New Roman"/>
          <w:b/>
          <w:bCs/>
          <w:i/>
          <w:iCs/>
          <w:color w:val="002060"/>
          <w:lang w:eastAsia="en-US"/>
        </w:rPr>
      </w:pPr>
      <w:bookmarkStart w:id="11" w:name="_Toc102404193"/>
      <w:r w:rsidRPr="00777CB4">
        <w:rPr>
          <w:rFonts w:ascii="Bookman Old Style" w:eastAsia="Calibri" w:hAnsi="Bookman Old Style" w:cs="Times New Roman"/>
          <w:b/>
          <w:bCs/>
          <w:i/>
          <w:iCs/>
          <w:color w:val="002060"/>
          <w:lang w:eastAsia="en-US"/>
        </w:rPr>
        <w:t>Misure di assistenza nei confronti dei minori non accompagnati provenienti dall’Ucraina</w:t>
      </w:r>
      <w:bookmarkEnd w:id="11"/>
      <w:r w:rsidRPr="00777CB4">
        <w:rPr>
          <w:rFonts w:ascii="Bookman Old Style" w:eastAsia="Calibri" w:hAnsi="Bookman Old Style" w:cs="Times New Roman"/>
          <w:b/>
          <w:bCs/>
          <w:i/>
          <w:iCs/>
          <w:color w:val="002060"/>
          <w:lang w:eastAsia="en-US"/>
        </w:rPr>
        <w:t xml:space="preserve"> (Art. 31 bis)</w:t>
      </w:r>
    </w:p>
    <w:p w14:paraId="1D45A505" w14:textId="77777777" w:rsidR="00764107" w:rsidRPr="00777CB4" w:rsidRDefault="00764107" w:rsidP="00F27468">
      <w:pPr>
        <w:keepNext/>
        <w:keepLines/>
        <w:ind w:left="720"/>
        <w:jc w:val="both"/>
        <w:outlineLvl w:val="1"/>
        <w:rPr>
          <w:rFonts w:ascii="Bookman Old Style" w:eastAsia="Calibri" w:hAnsi="Bookman Old Style" w:cs="Times New Roman"/>
          <w:b/>
          <w:bCs/>
          <w:i/>
          <w:iCs/>
          <w:color w:val="002060"/>
          <w:lang w:eastAsia="en-US"/>
        </w:rPr>
      </w:pPr>
    </w:p>
    <w:p w14:paraId="43EA3982" w14:textId="2A4D071F" w:rsidR="00E5682C" w:rsidRDefault="004C6949" w:rsidP="00642595">
      <w:pPr>
        <w:jc w:val="both"/>
        <w:rPr>
          <w:rFonts w:ascii="Bookman Old Style" w:hAnsi="Bookman Old Style"/>
        </w:rPr>
      </w:pPr>
      <w:r>
        <w:rPr>
          <w:rFonts w:ascii="Bookman Old Style" w:hAnsi="Bookman Old Style" w:cs="Times New Roman"/>
          <w:lang w:eastAsia="en-US"/>
        </w:rPr>
        <w:t>L’articolo stabilisce che</w:t>
      </w:r>
      <w:r w:rsidR="00236E75">
        <w:rPr>
          <w:rFonts w:ascii="Bookman Old Style" w:hAnsi="Bookman Old Style"/>
        </w:rPr>
        <w:t xml:space="preserve"> </w:t>
      </w:r>
      <w:r w:rsidR="003A19B9" w:rsidRPr="00642595">
        <w:rPr>
          <w:rFonts w:ascii="Bookman Old Style" w:hAnsi="Bookman Old Style"/>
          <w:b/>
          <w:bCs/>
        </w:rPr>
        <w:t>ai comuni che accolgono minori non accompagnati provenienti dall’Ucraina,</w:t>
      </w:r>
      <w:r w:rsidR="003A19B9">
        <w:rPr>
          <w:rFonts w:ascii="Bookman Old Style" w:hAnsi="Bookman Old Style"/>
        </w:rPr>
        <w:t xml:space="preserve"> in conseguenza della crisi politica e militare in atto, nelle strutture autorizzate o accreditate, ovvero che sostengono gli oneri connessi all’affidamento familiare dei medesimi minori, </w:t>
      </w:r>
      <w:r w:rsidRPr="004C6949">
        <w:rPr>
          <w:rFonts w:ascii="Bookman Old Style" w:hAnsi="Bookman Old Style"/>
          <w:b/>
          <w:bCs/>
        </w:rPr>
        <w:t>venga</w:t>
      </w:r>
      <w:r w:rsidR="003A19B9" w:rsidRPr="004C6949">
        <w:rPr>
          <w:rFonts w:ascii="Bookman Old Style" w:hAnsi="Bookman Old Style"/>
          <w:b/>
          <w:bCs/>
        </w:rPr>
        <w:t xml:space="preserve"> riconosciuto</w:t>
      </w:r>
      <w:r w:rsidR="003A19B9">
        <w:rPr>
          <w:rFonts w:ascii="Bookman Old Style" w:hAnsi="Bookman Old Style"/>
        </w:rPr>
        <w:t xml:space="preserve">, da parte del Commissario delegato, il rimborso dei costi sostenuti, </w:t>
      </w:r>
      <w:r w:rsidR="003A19B9" w:rsidRPr="00642595">
        <w:rPr>
          <w:rFonts w:ascii="Bookman Old Style" w:hAnsi="Bookman Old Style"/>
          <w:b/>
          <w:bCs/>
        </w:rPr>
        <w:t>fino a un massimo di cento euro pro-die pro-capite</w:t>
      </w:r>
      <w:r w:rsidR="003A19B9">
        <w:rPr>
          <w:rFonts w:ascii="Bookman Old Style" w:hAnsi="Bookman Old Style"/>
        </w:rPr>
        <w:t xml:space="preserve">. </w:t>
      </w:r>
    </w:p>
    <w:p w14:paraId="3B7D73FA" w14:textId="22FC4B87" w:rsidR="003A19B9" w:rsidRDefault="003A19B9" w:rsidP="00642595">
      <w:pPr>
        <w:jc w:val="both"/>
        <w:rPr>
          <w:rFonts w:ascii="Bookman Old Style" w:hAnsi="Bookman Old Style"/>
          <w:lang w:eastAsia="en-US"/>
        </w:rPr>
      </w:pPr>
      <w:r>
        <w:rPr>
          <w:rFonts w:ascii="Bookman Old Style" w:hAnsi="Bookman Old Style"/>
          <w:b/>
          <w:bCs/>
        </w:rPr>
        <w:t xml:space="preserve">A tal fine, il </w:t>
      </w:r>
      <w:proofErr w:type="gramStart"/>
      <w:r>
        <w:rPr>
          <w:rFonts w:ascii="Bookman Old Style" w:hAnsi="Bookman Old Style"/>
          <w:b/>
          <w:bCs/>
        </w:rPr>
        <w:t>predetto</w:t>
      </w:r>
      <w:proofErr w:type="gramEnd"/>
      <w:r>
        <w:rPr>
          <w:rFonts w:ascii="Bookman Old Style" w:hAnsi="Bookman Old Style"/>
          <w:b/>
          <w:bCs/>
        </w:rPr>
        <w:t xml:space="preserve"> Commissario si avvale di una struttura di supporto da definirsi con ordinanza del Capo del Dipartimento della protezione civile nel limite di spesa complessiva di euro 237.701 per l’anno 2022</w:t>
      </w:r>
      <w:r>
        <w:rPr>
          <w:rFonts w:ascii="Bookman Old Style" w:hAnsi="Bookman Old Style"/>
        </w:rPr>
        <w:t xml:space="preserve">. Per </w:t>
      </w:r>
      <w:r w:rsidRPr="00642595">
        <w:rPr>
          <w:rFonts w:ascii="Bookman Old Style" w:hAnsi="Bookman Old Style"/>
        </w:rPr>
        <w:t xml:space="preserve">l’attuazione </w:t>
      </w:r>
      <w:r w:rsidR="00642595" w:rsidRPr="00642595">
        <w:rPr>
          <w:rFonts w:ascii="Bookman Old Style" w:hAnsi="Bookman Old Style"/>
        </w:rPr>
        <w:t>di tali misure</w:t>
      </w:r>
      <w:r w:rsidRPr="00642595">
        <w:rPr>
          <w:rFonts w:ascii="Bookman Old Style" w:hAnsi="Bookman Old Style"/>
        </w:rPr>
        <w:t xml:space="preserve"> il</w:t>
      </w:r>
      <w:r>
        <w:rPr>
          <w:rFonts w:ascii="Bookman Old Style" w:hAnsi="Bookman Old Style"/>
        </w:rPr>
        <w:t xml:space="preserve"> Fondo per le emergenze nazionali è incrementato di euro 58.568.190 per l’esercizio finanziario 2022</w:t>
      </w:r>
      <w:r w:rsidR="00642595">
        <w:rPr>
          <w:rFonts w:ascii="Bookman Old Style" w:hAnsi="Bookman Old Style"/>
        </w:rPr>
        <w:t>.</w:t>
      </w:r>
    </w:p>
    <w:p w14:paraId="56D71EDA" w14:textId="335E6DA2" w:rsidR="003A19B9" w:rsidRDefault="003A19B9" w:rsidP="003A19B9">
      <w:pPr>
        <w:rPr>
          <w:lang w:eastAsia="en-US"/>
        </w:rPr>
      </w:pPr>
    </w:p>
    <w:p w14:paraId="4696E1BA" w14:textId="77777777" w:rsidR="00C608EF" w:rsidRPr="00777CB4" w:rsidRDefault="00C608EF" w:rsidP="00135770">
      <w:pPr>
        <w:shd w:val="clear" w:color="auto" w:fill="FFFFFF"/>
        <w:jc w:val="both"/>
        <w:rPr>
          <w:rFonts w:ascii="Bookman Old Style" w:hAnsi="Bookman Old Style"/>
        </w:rPr>
      </w:pPr>
    </w:p>
    <w:p w14:paraId="64AF3869" w14:textId="77777777" w:rsidR="00135770" w:rsidRPr="00777CB4" w:rsidRDefault="00135770" w:rsidP="00135770">
      <w:pPr>
        <w:pStyle w:val="Paragrafoelenco"/>
        <w:numPr>
          <w:ilvl w:val="0"/>
          <w:numId w:val="3"/>
        </w:numPr>
        <w:shd w:val="clear" w:color="auto" w:fill="FFFFFF"/>
        <w:jc w:val="both"/>
        <w:rPr>
          <w:rFonts w:ascii="Bookman Old Style" w:hAnsi="Bookman Old Style"/>
          <w:color w:val="002060"/>
        </w:rPr>
      </w:pPr>
      <w:r w:rsidRPr="00777CB4">
        <w:rPr>
          <w:rFonts w:ascii="Bookman Old Style" w:hAnsi="Bookman Old Style"/>
          <w:b/>
          <w:bCs/>
          <w:i/>
          <w:iCs/>
          <w:color w:val="002060"/>
        </w:rPr>
        <w:t>Autorizzazione a modifiche contrattuali in deroga nel settore dell'immigrazione (Art. 33)</w:t>
      </w:r>
    </w:p>
    <w:p w14:paraId="311409DC" w14:textId="77777777" w:rsidR="00135770" w:rsidRPr="00777CB4" w:rsidRDefault="00135770" w:rsidP="00135770">
      <w:pPr>
        <w:shd w:val="clear" w:color="auto" w:fill="FFFFFF"/>
        <w:jc w:val="both"/>
        <w:rPr>
          <w:rFonts w:ascii="Bookman Old Style" w:hAnsi="Bookman Old Style"/>
        </w:rPr>
      </w:pPr>
    </w:p>
    <w:p w14:paraId="68CAFE1B" w14:textId="77777777" w:rsidR="00135770" w:rsidRPr="00777CB4" w:rsidRDefault="00135770" w:rsidP="00135770">
      <w:pPr>
        <w:shd w:val="clear" w:color="auto" w:fill="FFFFFF"/>
        <w:jc w:val="both"/>
        <w:rPr>
          <w:rFonts w:ascii="Bookman Old Style" w:hAnsi="Bookman Old Style"/>
        </w:rPr>
      </w:pPr>
      <w:r w:rsidRPr="00777CB4">
        <w:rPr>
          <w:rFonts w:ascii="Bookman Old Style" w:hAnsi="Bookman Old Style"/>
        </w:rPr>
        <w:t>La norma contiene misure per far fronte alle maggiori esigenze in materia di immigrazione e protrae a tutto il 2022 l'impiego - che le norme previgenti avrebbero consentito non oltre la fine di marzo 2022 - sia di lavoratori interinali impiegati presso le Commissioni preposte al vaglio delle domande di protezione internazionale sia dei contratti a termine utilizzati dal Ministero dell'interno per l'emersione dei rapporti di lavoro irregolari (onde destinare tale personale al vaglio di istanze presentate dalle persone sfollate dall'Ucraina). Ed autorizza, a tali fini, la modifica dei contratti in essere, anche in deroga alle disposizioni del Codice degli appalti che definiscono la procedura di modifica dei contratti durante la loro efficacia e circoscrivono i casi di modifica senza una nuova procedura di affidamento.</w:t>
      </w:r>
    </w:p>
    <w:p w14:paraId="4E83530F" w14:textId="77777777" w:rsidR="00135770" w:rsidRPr="00777CB4" w:rsidRDefault="00135770" w:rsidP="00135770">
      <w:pPr>
        <w:jc w:val="both"/>
        <w:rPr>
          <w:rFonts w:ascii="Bookman Old Style" w:hAnsi="Bookman Old Style"/>
        </w:rPr>
      </w:pPr>
    </w:p>
    <w:p w14:paraId="1A1082BC" w14:textId="77777777" w:rsidR="005E325A" w:rsidRPr="00777CB4" w:rsidRDefault="005E325A" w:rsidP="00F27468">
      <w:pPr>
        <w:pStyle w:val="xmsolistparagraph"/>
        <w:autoSpaceDE w:val="0"/>
        <w:autoSpaceDN w:val="0"/>
        <w:ind w:left="0"/>
        <w:jc w:val="both"/>
        <w:rPr>
          <w:rFonts w:ascii="Bookman Old Style" w:hAnsi="Bookman Old Style"/>
          <w:b/>
          <w:bCs/>
          <w:color w:val="002060"/>
        </w:rPr>
      </w:pPr>
    </w:p>
    <w:p w14:paraId="71006A0E" w14:textId="77777777" w:rsidR="00FA761B" w:rsidRPr="00777CB4" w:rsidRDefault="00FA761B" w:rsidP="008B35CB">
      <w:pPr>
        <w:keepNext/>
        <w:jc w:val="both"/>
        <w:rPr>
          <w:rFonts w:ascii="Bookman Old Style" w:hAnsi="Bookman Old Style"/>
          <w:b/>
          <w:bCs/>
          <w:color w:val="002060"/>
        </w:rPr>
      </w:pPr>
      <w:r w:rsidRPr="00777CB4">
        <w:rPr>
          <w:rFonts w:ascii="Bookman Old Style" w:hAnsi="Bookman Old Style"/>
          <w:b/>
          <w:bCs/>
          <w:color w:val="002060"/>
        </w:rPr>
        <w:lastRenderedPageBreak/>
        <w:t>EDILIZIA RESIDENZIALE PUBBLICA</w:t>
      </w:r>
    </w:p>
    <w:p w14:paraId="37F18B54" w14:textId="77777777" w:rsidR="00FA761B" w:rsidRPr="00777CB4" w:rsidRDefault="00FA761B" w:rsidP="008B35CB">
      <w:pPr>
        <w:keepNext/>
        <w:jc w:val="both"/>
        <w:rPr>
          <w:rFonts w:ascii="Bookman Old Style" w:hAnsi="Bookman Old Style"/>
          <w:i/>
          <w:iCs/>
        </w:rPr>
      </w:pPr>
    </w:p>
    <w:p w14:paraId="487AF340" w14:textId="77777777" w:rsidR="00FA761B" w:rsidRPr="00777CB4" w:rsidRDefault="00FA761B" w:rsidP="008B35CB">
      <w:pPr>
        <w:pStyle w:val="Paragrafoelenco"/>
        <w:keepNext/>
        <w:numPr>
          <w:ilvl w:val="0"/>
          <w:numId w:val="1"/>
        </w:numPr>
        <w:jc w:val="both"/>
        <w:rPr>
          <w:rFonts w:ascii="Bookman Old Style" w:hAnsi="Bookman Old Style"/>
          <w:b/>
          <w:bCs/>
          <w:i/>
          <w:iCs/>
          <w:color w:val="002060"/>
        </w:rPr>
      </w:pPr>
      <w:r w:rsidRPr="00777CB4">
        <w:rPr>
          <w:rFonts w:ascii="Bookman Old Style" w:hAnsi="Bookman Old Style"/>
          <w:b/>
          <w:bCs/>
          <w:i/>
          <w:iCs/>
          <w:color w:val="002060"/>
        </w:rPr>
        <w:t>Disposizioni in materia di alloggi di edilizia residenziale pubblica (Art. 10 quinquies)</w:t>
      </w:r>
    </w:p>
    <w:p w14:paraId="2FD2C102" w14:textId="77777777" w:rsidR="00FA761B" w:rsidRPr="00777CB4" w:rsidRDefault="00FA761B" w:rsidP="008B35CB">
      <w:pPr>
        <w:keepNext/>
        <w:jc w:val="both"/>
        <w:rPr>
          <w:rFonts w:ascii="Bookman Old Style" w:hAnsi="Bookman Old Style"/>
          <w:highlight w:val="yellow"/>
        </w:rPr>
      </w:pPr>
    </w:p>
    <w:p w14:paraId="1BEC0FA2" w14:textId="77777777" w:rsidR="00B045AF" w:rsidRPr="00B045AF" w:rsidRDefault="00B045AF" w:rsidP="00B045AF">
      <w:pPr>
        <w:autoSpaceDE w:val="0"/>
        <w:autoSpaceDN w:val="0"/>
        <w:spacing w:before="120" w:line="264" w:lineRule="auto"/>
        <w:jc w:val="both"/>
        <w:rPr>
          <w:rFonts w:ascii="Bookman Old Style" w:hAnsi="Bookman Old Style" w:cs="Times New Roman"/>
          <w:b/>
          <w:bCs/>
        </w:rPr>
      </w:pPr>
      <w:r w:rsidRPr="00B045AF">
        <w:rPr>
          <w:rFonts w:ascii="Bookman Old Style" w:hAnsi="Bookman Old Style" w:cs="Times New Roman"/>
        </w:rPr>
        <w:t xml:space="preserve">La nuova formulazione dell’art.31 legge 448- scaturente dalla modifica del </w:t>
      </w:r>
      <w:proofErr w:type="spellStart"/>
      <w:r w:rsidRPr="00B045AF">
        <w:rPr>
          <w:rFonts w:ascii="Bookman Old Style" w:hAnsi="Bookman Old Style" w:cs="Times New Roman"/>
        </w:rPr>
        <w:t>d.l.</w:t>
      </w:r>
      <w:proofErr w:type="spellEnd"/>
      <w:r w:rsidRPr="00B045AF">
        <w:rPr>
          <w:rFonts w:ascii="Bookman Old Style" w:hAnsi="Bookman Old Style" w:cs="Times New Roman"/>
        </w:rPr>
        <w:t xml:space="preserve"> 21- prevede che il procedimento tecnico amministrativo per la trasformazione del diritto di superficie in diritto di proprietà e la rimozione dei vincoli relativi alla determinazione del prezzo massimo di cessione delle singole unità abitative e loro pertinenze nonché del canone massimo di locazione può essere proposto solo  a seguito della  </w:t>
      </w:r>
      <w:r w:rsidRPr="00B045AF">
        <w:rPr>
          <w:rFonts w:ascii="Bookman Old Style" w:hAnsi="Bookman Old Style" w:cs="Times New Roman"/>
          <w:b/>
          <w:bCs/>
        </w:rPr>
        <w:t>deliberazione di Consiglio Comunale con la quale sono state individuate le aree da trasformare</w:t>
      </w:r>
      <w:r w:rsidRPr="00B045AF">
        <w:rPr>
          <w:rFonts w:ascii="Bookman Old Style" w:hAnsi="Bookman Old Style" w:cs="Times New Roman"/>
        </w:rPr>
        <w:t xml:space="preserve">. Il Comune </w:t>
      </w:r>
      <w:r w:rsidRPr="00B045AF">
        <w:rPr>
          <w:rFonts w:ascii="Bookman Old Style" w:hAnsi="Bookman Old Style" w:cs="Times New Roman"/>
          <w:b/>
          <w:bCs/>
        </w:rPr>
        <w:t xml:space="preserve">entro novanta giorni dalla data di ricezione dell'istanza </w:t>
      </w:r>
      <w:r w:rsidRPr="00B045AF">
        <w:rPr>
          <w:rFonts w:ascii="Bookman Old Style" w:hAnsi="Bookman Old Style" w:cs="Times New Roman"/>
        </w:rPr>
        <w:t xml:space="preserve">da parte dei soggetti interessati, deve trasmettere </w:t>
      </w:r>
      <w:r w:rsidRPr="00B045AF">
        <w:rPr>
          <w:rFonts w:ascii="Bookman Old Style" w:hAnsi="Bookman Old Style" w:cs="Times New Roman"/>
          <w:b/>
          <w:bCs/>
        </w:rPr>
        <w:t xml:space="preserve">le proprie determinazioni </w:t>
      </w:r>
      <w:r w:rsidRPr="00B045AF">
        <w:rPr>
          <w:rFonts w:ascii="Bookman Old Style" w:hAnsi="Bookman Old Style" w:cs="Times New Roman"/>
        </w:rPr>
        <w:t>in ordine</w:t>
      </w:r>
      <w:r w:rsidRPr="00B045AF">
        <w:rPr>
          <w:rFonts w:ascii="Bookman Old Style" w:hAnsi="Bookman Old Style" w:cs="Times New Roman"/>
          <w:b/>
          <w:bCs/>
        </w:rPr>
        <w:t xml:space="preserve"> al corrispettivo dovuto e alla procedura di trasformazione. </w:t>
      </w:r>
    </w:p>
    <w:p w14:paraId="4A208AC6" w14:textId="77777777" w:rsidR="00B045AF" w:rsidRPr="00B045AF" w:rsidRDefault="00B045AF" w:rsidP="00B045AF">
      <w:pPr>
        <w:autoSpaceDE w:val="0"/>
        <w:autoSpaceDN w:val="0"/>
        <w:spacing w:before="120" w:line="264" w:lineRule="auto"/>
        <w:jc w:val="both"/>
        <w:rPr>
          <w:rFonts w:ascii="Bookman Old Style" w:hAnsi="Bookman Old Style" w:cs="Times New Roman"/>
        </w:rPr>
      </w:pPr>
      <w:r w:rsidRPr="00B045AF">
        <w:rPr>
          <w:rFonts w:ascii="Bookman Old Style" w:hAnsi="Bookman Old Style" w:cs="Times New Roman"/>
        </w:rPr>
        <w:t xml:space="preserve">Il costo dell’area in ogni caso non può essere maggiore di quello stabilito dal Comune per le aree cedute direttamente in proprietà al momento della trasformazione di cui al comma 47 e, nella nuova formulazione, è </w:t>
      </w:r>
      <w:r w:rsidRPr="00B045AF">
        <w:rPr>
          <w:rFonts w:ascii="Bookman Old Style" w:hAnsi="Bookman Old Style" w:cs="Times New Roman"/>
          <w:b/>
          <w:bCs/>
        </w:rPr>
        <w:t>abrogato il limite massimo di euro 5.000</w:t>
      </w:r>
      <w:r w:rsidRPr="00B045AF">
        <w:rPr>
          <w:rFonts w:ascii="Bookman Old Style" w:hAnsi="Bookman Old Style" w:cs="Times New Roman"/>
        </w:rPr>
        <w:t xml:space="preserve"> per le unità abitativa con superficie residenziale catastale fino a 125 metri quadrati e di euro </w:t>
      </w:r>
      <w:r w:rsidRPr="00B045AF">
        <w:rPr>
          <w:rFonts w:ascii="Bookman Old Style" w:hAnsi="Bookman Old Style" w:cs="Times New Roman"/>
          <w:b/>
          <w:bCs/>
        </w:rPr>
        <w:t>10.000 per quelle maggiori di 125 metri quadrati</w:t>
      </w:r>
      <w:r w:rsidRPr="00B045AF">
        <w:rPr>
          <w:rFonts w:ascii="Bookman Old Style" w:hAnsi="Bookman Old Style" w:cs="Times New Roman"/>
        </w:rPr>
        <w:t>.</w:t>
      </w:r>
    </w:p>
    <w:p w14:paraId="10499F40" w14:textId="77777777" w:rsidR="00FA761B" w:rsidRDefault="00FA761B" w:rsidP="00F27468">
      <w:pPr>
        <w:pStyle w:val="xmsolistparagraph"/>
        <w:autoSpaceDE w:val="0"/>
        <w:autoSpaceDN w:val="0"/>
        <w:ind w:left="0"/>
        <w:jc w:val="both"/>
        <w:rPr>
          <w:rFonts w:ascii="Bookman Old Style" w:hAnsi="Bookman Old Style"/>
          <w:b/>
          <w:bCs/>
          <w:color w:val="002060"/>
        </w:rPr>
      </w:pPr>
    </w:p>
    <w:p w14:paraId="055A76A9" w14:textId="77777777" w:rsidR="00FA761B" w:rsidRDefault="00FA761B" w:rsidP="00F27468">
      <w:pPr>
        <w:pStyle w:val="xmsolistparagraph"/>
        <w:autoSpaceDE w:val="0"/>
        <w:autoSpaceDN w:val="0"/>
        <w:ind w:left="0"/>
        <w:jc w:val="both"/>
        <w:rPr>
          <w:rFonts w:ascii="Bookman Old Style" w:hAnsi="Bookman Old Style"/>
          <w:b/>
          <w:bCs/>
          <w:color w:val="002060"/>
        </w:rPr>
      </w:pPr>
    </w:p>
    <w:p w14:paraId="25C77C83" w14:textId="77777777" w:rsidR="00FA761B" w:rsidRDefault="00FA761B" w:rsidP="00F27468">
      <w:pPr>
        <w:pStyle w:val="xmsolistparagraph"/>
        <w:autoSpaceDE w:val="0"/>
        <w:autoSpaceDN w:val="0"/>
        <w:ind w:left="0"/>
        <w:jc w:val="both"/>
        <w:rPr>
          <w:rFonts w:ascii="Bookman Old Style" w:hAnsi="Bookman Old Style"/>
          <w:b/>
          <w:bCs/>
          <w:color w:val="002060"/>
        </w:rPr>
      </w:pPr>
    </w:p>
    <w:p w14:paraId="67843758" w14:textId="7A86F08E" w:rsidR="00F27468" w:rsidRPr="00777CB4" w:rsidRDefault="00F27468" w:rsidP="00F27468">
      <w:pPr>
        <w:pStyle w:val="xmsolistparagraph"/>
        <w:autoSpaceDE w:val="0"/>
        <w:autoSpaceDN w:val="0"/>
        <w:ind w:left="0"/>
        <w:jc w:val="both"/>
        <w:rPr>
          <w:rFonts w:ascii="Bookman Old Style" w:hAnsi="Bookman Old Style"/>
          <w:b/>
          <w:bCs/>
          <w:color w:val="002060"/>
        </w:rPr>
      </w:pPr>
      <w:r w:rsidRPr="00777CB4">
        <w:rPr>
          <w:rFonts w:ascii="Bookman Old Style" w:hAnsi="Bookman Old Style"/>
          <w:b/>
          <w:bCs/>
          <w:color w:val="002060"/>
        </w:rPr>
        <w:t>FUSIONE DI COMUNI</w:t>
      </w:r>
    </w:p>
    <w:p w14:paraId="564C21E1" w14:textId="77777777" w:rsidR="00F27468" w:rsidRPr="00777CB4" w:rsidRDefault="00F27468" w:rsidP="00F27468">
      <w:pPr>
        <w:pStyle w:val="xmsolistparagraph"/>
        <w:autoSpaceDE w:val="0"/>
        <w:autoSpaceDN w:val="0"/>
        <w:ind w:left="0"/>
        <w:jc w:val="both"/>
        <w:rPr>
          <w:rFonts w:ascii="Bookman Old Style" w:hAnsi="Bookman Old Style"/>
          <w:b/>
          <w:bCs/>
          <w:color w:val="002060"/>
        </w:rPr>
      </w:pPr>
    </w:p>
    <w:p w14:paraId="41BC98B1" w14:textId="77777777" w:rsidR="00F27468" w:rsidRPr="00777CB4" w:rsidRDefault="00F27468" w:rsidP="00F27468">
      <w:pPr>
        <w:pStyle w:val="Titolo2"/>
        <w:numPr>
          <w:ilvl w:val="0"/>
          <w:numId w:val="3"/>
        </w:numPr>
        <w:spacing w:before="0" w:line="240" w:lineRule="auto"/>
        <w:jc w:val="both"/>
        <w:rPr>
          <w:rStyle w:val="Titolo1Carattere"/>
          <w:rFonts w:ascii="Bookman Old Style" w:hAnsi="Bookman Old Style"/>
          <w:b/>
          <w:bCs/>
          <w:i/>
          <w:iCs/>
          <w:color w:val="002060"/>
          <w:sz w:val="22"/>
          <w:szCs w:val="22"/>
        </w:rPr>
      </w:pPr>
      <w:bookmarkStart w:id="12" w:name="_Toc103001532"/>
      <w:bookmarkStart w:id="13" w:name="_Toc103001574"/>
      <w:bookmarkStart w:id="14" w:name="_Toc103001659"/>
      <w:bookmarkStart w:id="15" w:name="_Toc103001848"/>
      <w:bookmarkStart w:id="16" w:name="_Toc103003682"/>
      <w:r w:rsidRPr="00777CB4">
        <w:rPr>
          <w:rStyle w:val="Titolo1Carattere"/>
          <w:rFonts w:ascii="Bookman Old Style" w:hAnsi="Bookman Old Style"/>
          <w:b/>
          <w:bCs/>
          <w:i/>
          <w:iCs/>
          <w:color w:val="002060"/>
          <w:sz w:val="22"/>
          <w:szCs w:val="22"/>
        </w:rPr>
        <w:t>Fusione di comuni e razionalizzazione dell’esercizio delle funzioni comunali</w:t>
      </w:r>
      <w:bookmarkEnd w:id="12"/>
      <w:bookmarkEnd w:id="13"/>
      <w:bookmarkEnd w:id="14"/>
      <w:bookmarkEnd w:id="15"/>
      <w:bookmarkEnd w:id="16"/>
      <w:r w:rsidRPr="00777CB4">
        <w:rPr>
          <w:rStyle w:val="Titolo1Carattere"/>
          <w:rFonts w:ascii="Bookman Old Style" w:hAnsi="Bookman Old Style"/>
          <w:b/>
          <w:bCs/>
          <w:i/>
          <w:iCs/>
          <w:color w:val="002060"/>
          <w:sz w:val="22"/>
          <w:szCs w:val="22"/>
        </w:rPr>
        <w:t xml:space="preserve"> (Art. 31 quater)</w:t>
      </w:r>
    </w:p>
    <w:p w14:paraId="7B3AA3FA" w14:textId="77777777" w:rsidR="00F27468" w:rsidRPr="00777CB4" w:rsidRDefault="00F27468" w:rsidP="00F27468">
      <w:pPr>
        <w:pStyle w:val="Titolo2"/>
        <w:jc w:val="both"/>
        <w:rPr>
          <w:rStyle w:val="Titolo1Carattere"/>
          <w:rFonts w:ascii="Bookman Old Style" w:eastAsia="Times New Roman" w:hAnsi="Bookman Old Style"/>
          <w:sz w:val="22"/>
          <w:szCs w:val="22"/>
        </w:rPr>
      </w:pPr>
    </w:p>
    <w:p w14:paraId="13B19A52" w14:textId="63A7B023" w:rsidR="00F27468" w:rsidRPr="00777CB4" w:rsidRDefault="00F27468" w:rsidP="00F27468">
      <w:pPr>
        <w:pStyle w:val="Titolo2"/>
        <w:jc w:val="both"/>
        <w:rPr>
          <w:rStyle w:val="Titolo1Carattere"/>
          <w:rFonts w:ascii="Bookman Old Style" w:hAnsi="Bookman Old Style"/>
          <w:color w:val="auto"/>
          <w:sz w:val="22"/>
          <w:szCs w:val="22"/>
        </w:rPr>
      </w:pPr>
      <w:r w:rsidRPr="009A4F74">
        <w:rPr>
          <w:rStyle w:val="Titolo1Carattere"/>
          <w:rFonts w:ascii="Bookman Old Style" w:eastAsia="Times New Roman" w:hAnsi="Bookman Old Style"/>
          <w:color w:val="auto"/>
          <w:sz w:val="22"/>
          <w:szCs w:val="22"/>
        </w:rPr>
        <w:t>La norma conferma, per quantificare il contributo statale alle fusioni, la percentuale del</w:t>
      </w:r>
      <w:r w:rsidRPr="00777CB4">
        <w:rPr>
          <w:rStyle w:val="Titolo1Carattere"/>
          <w:rFonts w:ascii="Bookman Old Style" w:eastAsia="Times New Roman" w:hAnsi="Bookman Old Style"/>
          <w:color w:val="auto"/>
          <w:sz w:val="22"/>
          <w:szCs w:val="22"/>
        </w:rPr>
        <w:t xml:space="preserve"> 60% dei trasferimenti attribuiti ai singoli Comuni al 2010.</w:t>
      </w:r>
    </w:p>
    <w:p w14:paraId="1F79EFDE" w14:textId="77777777" w:rsidR="00F27468" w:rsidRPr="00777CB4" w:rsidRDefault="00F27468" w:rsidP="00F27468">
      <w:pPr>
        <w:pStyle w:val="Titolo2"/>
        <w:jc w:val="both"/>
        <w:rPr>
          <w:rStyle w:val="Titolo1Carattere"/>
          <w:rFonts w:ascii="Bookman Old Style" w:hAnsi="Bookman Old Style"/>
          <w:color w:val="auto"/>
          <w:sz w:val="22"/>
          <w:szCs w:val="22"/>
        </w:rPr>
      </w:pPr>
      <w:r w:rsidRPr="00777CB4">
        <w:rPr>
          <w:rStyle w:val="Titolo1Carattere"/>
          <w:rFonts w:ascii="Bookman Old Style" w:eastAsia="Times New Roman" w:hAnsi="Bookman Old Style"/>
          <w:color w:val="auto"/>
          <w:sz w:val="22"/>
          <w:szCs w:val="22"/>
        </w:rPr>
        <w:t>Viene modificato il tetto massimo attribuibile che passa dai 2 milioni di euro per tutte le fasce di popolazione ai 10 milioni di euro per le fusioni che diano origine a Enti complessivamente superiori a 100.000 abitanti tranne le fusioni per incorporazione. Per i nuovi Enti inferiori a 100.000 abitanti il contributo massimo resta di 2 milioni di euro.</w:t>
      </w:r>
    </w:p>
    <w:p w14:paraId="23F3D458" w14:textId="77777777" w:rsidR="00F27468" w:rsidRPr="00777CB4" w:rsidRDefault="00F27468" w:rsidP="00F27468">
      <w:pPr>
        <w:pStyle w:val="Titolo2"/>
        <w:jc w:val="both"/>
        <w:rPr>
          <w:rStyle w:val="Titolo1Carattere"/>
          <w:rFonts w:ascii="Bookman Old Style" w:hAnsi="Bookman Old Style"/>
          <w:color w:val="auto"/>
          <w:sz w:val="22"/>
          <w:szCs w:val="22"/>
        </w:rPr>
      </w:pPr>
      <w:r w:rsidRPr="00777CB4">
        <w:rPr>
          <w:rStyle w:val="Titolo1Carattere"/>
          <w:rFonts w:ascii="Bookman Old Style" w:eastAsia="Times New Roman" w:hAnsi="Bookman Old Style"/>
          <w:color w:val="auto"/>
          <w:sz w:val="22"/>
          <w:szCs w:val="22"/>
        </w:rPr>
        <w:t>Infine, a</w:t>
      </w:r>
      <w:r w:rsidRPr="00777CB4">
        <w:rPr>
          <w:rFonts w:ascii="Bookman Old Style" w:eastAsia="Times New Roman" w:hAnsi="Bookman Old Style"/>
          <w:color w:val="auto"/>
          <w:sz w:val="22"/>
          <w:szCs w:val="22"/>
        </w:rPr>
        <w:t>i Comuni con popolazione complessivamente superiore a 100.000 abitanti per i quali risulti in corso, nel periodo di vigenza dello stato di emergenza, un procedimento di fusione è assegnato un contributo di 5 milioni di euro per l'anno 2023 da ripartire in proporzione alla popolazione.</w:t>
      </w:r>
    </w:p>
    <w:p w14:paraId="0F865424" w14:textId="0358F2F3" w:rsidR="00550C24" w:rsidRPr="00777CB4" w:rsidRDefault="00550C24" w:rsidP="00504C76">
      <w:pPr>
        <w:jc w:val="both"/>
        <w:rPr>
          <w:rFonts w:ascii="Bookman Old Style" w:hAnsi="Bookman Old Style" w:cstheme="minorBidi"/>
          <w:b/>
          <w:bCs/>
          <w:color w:val="002060"/>
          <w:lang w:eastAsia="en-US"/>
        </w:rPr>
      </w:pPr>
    </w:p>
    <w:p w14:paraId="7FC29968" w14:textId="77777777" w:rsidR="00F27468" w:rsidRPr="00777CB4" w:rsidRDefault="00F27468" w:rsidP="00504C76">
      <w:pPr>
        <w:jc w:val="both"/>
        <w:rPr>
          <w:rFonts w:ascii="Bookman Old Style" w:hAnsi="Bookman Old Style" w:cstheme="minorBidi"/>
          <w:b/>
          <w:bCs/>
          <w:color w:val="002060"/>
          <w:lang w:eastAsia="en-US"/>
        </w:rPr>
      </w:pPr>
    </w:p>
    <w:p w14:paraId="0E210B3B" w14:textId="7320B470" w:rsidR="002F4484" w:rsidRPr="00777CB4" w:rsidRDefault="008216F6" w:rsidP="00504C76">
      <w:pPr>
        <w:jc w:val="both"/>
        <w:rPr>
          <w:rFonts w:ascii="Bookman Old Style" w:hAnsi="Bookman Old Style" w:cstheme="minorBidi"/>
          <w:b/>
          <w:bCs/>
          <w:color w:val="002060"/>
          <w:lang w:eastAsia="en-US"/>
        </w:rPr>
      </w:pPr>
      <w:r w:rsidRPr="00777CB4">
        <w:rPr>
          <w:rFonts w:ascii="Bookman Old Style" w:hAnsi="Bookman Old Style" w:cstheme="minorBidi"/>
          <w:b/>
          <w:bCs/>
          <w:color w:val="002060"/>
          <w:lang w:eastAsia="en-US"/>
        </w:rPr>
        <w:t xml:space="preserve">MISURE </w:t>
      </w:r>
      <w:r w:rsidR="0064743E" w:rsidRPr="00777CB4">
        <w:rPr>
          <w:rFonts w:ascii="Bookman Old Style" w:hAnsi="Bookman Old Style" w:cstheme="minorBidi"/>
          <w:b/>
          <w:bCs/>
          <w:color w:val="002060"/>
          <w:lang w:eastAsia="en-US"/>
        </w:rPr>
        <w:t>IN TEMA DI</w:t>
      </w:r>
      <w:r w:rsidRPr="00777CB4">
        <w:rPr>
          <w:rFonts w:ascii="Bookman Old Style" w:hAnsi="Bookman Old Style" w:cstheme="minorBidi"/>
          <w:b/>
          <w:bCs/>
          <w:color w:val="002060"/>
          <w:lang w:eastAsia="en-US"/>
        </w:rPr>
        <w:t xml:space="preserve"> </w:t>
      </w:r>
      <w:r w:rsidR="00F336F2" w:rsidRPr="00777CB4">
        <w:rPr>
          <w:rFonts w:ascii="Bookman Old Style" w:hAnsi="Bookman Old Style" w:cstheme="minorBidi"/>
          <w:b/>
          <w:bCs/>
          <w:color w:val="002060"/>
          <w:lang w:eastAsia="en-US"/>
        </w:rPr>
        <w:t xml:space="preserve">PREZZI </w:t>
      </w:r>
      <w:r w:rsidR="0064743E" w:rsidRPr="00777CB4">
        <w:rPr>
          <w:rFonts w:ascii="Bookman Old Style" w:hAnsi="Bookman Old Style" w:cstheme="minorBidi"/>
          <w:b/>
          <w:bCs/>
          <w:color w:val="002060"/>
          <w:lang w:eastAsia="en-US"/>
        </w:rPr>
        <w:t xml:space="preserve">DEL </w:t>
      </w:r>
      <w:r w:rsidR="00F336F2" w:rsidRPr="00777CB4">
        <w:rPr>
          <w:rFonts w:ascii="Bookman Old Style" w:hAnsi="Bookman Old Style" w:cstheme="minorBidi"/>
          <w:b/>
          <w:bCs/>
          <w:color w:val="002060"/>
          <w:lang w:eastAsia="en-US"/>
        </w:rPr>
        <w:t>GASOLIO</w:t>
      </w:r>
    </w:p>
    <w:p w14:paraId="57E591ED" w14:textId="77777777" w:rsidR="002F4484" w:rsidRPr="00777CB4" w:rsidRDefault="002F4484" w:rsidP="00504C76">
      <w:pPr>
        <w:jc w:val="both"/>
        <w:rPr>
          <w:rFonts w:ascii="Bookman Old Style" w:hAnsi="Bookman Old Style" w:cstheme="minorBidi"/>
          <w:b/>
          <w:bCs/>
          <w:color w:val="002060"/>
          <w:lang w:eastAsia="en-US"/>
        </w:rPr>
      </w:pPr>
    </w:p>
    <w:p w14:paraId="074BC899" w14:textId="3350ED3F" w:rsidR="00075541" w:rsidRPr="00777CB4" w:rsidRDefault="00050B29" w:rsidP="00504C76">
      <w:pPr>
        <w:pStyle w:val="Paragrafoelenco"/>
        <w:numPr>
          <w:ilvl w:val="0"/>
          <w:numId w:val="5"/>
        </w:numPr>
        <w:shd w:val="clear" w:color="auto" w:fill="FFFFFF"/>
        <w:jc w:val="both"/>
        <w:outlineLvl w:val="1"/>
        <w:rPr>
          <w:rFonts w:ascii="Bookman Old Style" w:eastAsia="Times New Roman" w:hAnsi="Bookman Old Style" w:cs="Times New Roman"/>
          <w:b/>
          <w:bCs/>
          <w:color w:val="002060"/>
        </w:rPr>
      </w:pPr>
      <w:r w:rsidRPr="00777CB4">
        <w:rPr>
          <w:rFonts w:ascii="Bookman Old Style" w:eastAsia="Times New Roman" w:hAnsi="Bookman Old Style" w:cs="Times New Roman"/>
          <w:b/>
          <w:bCs/>
          <w:i/>
          <w:iCs/>
          <w:color w:val="002060"/>
        </w:rPr>
        <w:t>Bonus carburante ai dipendenti</w:t>
      </w:r>
      <w:r w:rsidR="00EF1C19" w:rsidRPr="00777CB4">
        <w:rPr>
          <w:rFonts w:ascii="Bookman Old Style" w:eastAsia="Times New Roman" w:hAnsi="Bookman Old Style" w:cs="Times New Roman"/>
          <w:b/>
          <w:bCs/>
          <w:i/>
          <w:iCs/>
          <w:color w:val="002060"/>
        </w:rPr>
        <w:t xml:space="preserve"> (</w:t>
      </w:r>
      <w:r w:rsidRPr="00777CB4">
        <w:rPr>
          <w:rFonts w:ascii="Bookman Old Style" w:eastAsia="Times New Roman" w:hAnsi="Bookman Old Style" w:cs="Times New Roman"/>
          <w:b/>
          <w:bCs/>
          <w:i/>
          <w:iCs/>
          <w:color w:val="002060"/>
        </w:rPr>
        <w:t>Art. 2</w:t>
      </w:r>
      <w:r w:rsidR="00EF1C19" w:rsidRPr="00777CB4">
        <w:rPr>
          <w:rFonts w:ascii="Bookman Old Style" w:eastAsia="Times New Roman" w:hAnsi="Bookman Old Style" w:cs="Times New Roman"/>
          <w:b/>
          <w:bCs/>
          <w:i/>
          <w:iCs/>
          <w:color w:val="002060"/>
        </w:rPr>
        <w:t>)</w:t>
      </w:r>
    </w:p>
    <w:p w14:paraId="68A4A9D3" w14:textId="77777777" w:rsidR="00326164" w:rsidRPr="00777CB4" w:rsidRDefault="00326164" w:rsidP="00326164">
      <w:pPr>
        <w:pStyle w:val="Paragrafoelenco"/>
        <w:shd w:val="clear" w:color="auto" w:fill="FFFFFF"/>
        <w:jc w:val="both"/>
        <w:outlineLvl w:val="1"/>
        <w:rPr>
          <w:rFonts w:ascii="Bookman Old Style" w:eastAsia="Times New Roman" w:hAnsi="Bookman Old Style" w:cs="Times New Roman"/>
          <w:b/>
          <w:bCs/>
          <w:color w:val="002060"/>
        </w:rPr>
      </w:pPr>
    </w:p>
    <w:p w14:paraId="71EE3362" w14:textId="5A5B859B" w:rsidR="00F336F2" w:rsidRPr="00777CB4" w:rsidRDefault="00A11033" w:rsidP="00504C76">
      <w:pPr>
        <w:jc w:val="both"/>
        <w:rPr>
          <w:rFonts w:ascii="Bookman Old Style" w:hAnsi="Bookman Old Style"/>
        </w:rPr>
      </w:pPr>
      <w:r w:rsidRPr="00777CB4">
        <w:rPr>
          <w:rFonts w:ascii="Bookman Old Style" w:hAnsi="Bookman Old Style"/>
        </w:rPr>
        <w:t xml:space="preserve">La norma riconosce a </w:t>
      </w:r>
      <w:r w:rsidRPr="00777CB4">
        <w:rPr>
          <w:rFonts w:ascii="Bookman Old Style" w:hAnsi="Bookman Old Style"/>
          <w:b/>
          <w:bCs/>
        </w:rPr>
        <w:t xml:space="preserve">tutti i datori di lavoro privati </w:t>
      </w:r>
      <w:r w:rsidRPr="00777CB4">
        <w:rPr>
          <w:rFonts w:ascii="Bookman Old Style" w:hAnsi="Bookman Old Style"/>
        </w:rPr>
        <w:t xml:space="preserve">la possibilità di assegnare </w:t>
      </w:r>
      <w:r w:rsidRPr="00777CB4">
        <w:rPr>
          <w:rFonts w:ascii="Bookman Old Style" w:hAnsi="Bookman Old Style"/>
          <w:b/>
          <w:bCs/>
        </w:rPr>
        <w:t>a qualsiasi titolo</w:t>
      </w:r>
      <w:r w:rsidRPr="00777CB4">
        <w:rPr>
          <w:rFonts w:ascii="Bookman Old Style" w:hAnsi="Bookman Old Style"/>
        </w:rPr>
        <w:t xml:space="preserve"> ai propri dipendenti </w:t>
      </w:r>
      <w:r w:rsidRPr="00777CB4">
        <w:rPr>
          <w:rFonts w:ascii="Bookman Old Style" w:hAnsi="Bookman Old Style"/>
          <w:b/>
          <w:bCs/>
        </w:rPr>
        <w:t>un incentivo sotto forma di buoni benzina o analoghi titoli per un ammontare massimo di 200 euro</w:t>
      </w:r>
      <w:r w:rsidRPr="00777CB4">
        <w:rPr>
          <w:rFonts w:ascii="Bookman Old Style" w:hAnsi="Bookman Old Style"/>
        </w:rPr>
        <w:t xml:space="preserve">. La norma stabilisce che </w:t>
      </w:r>
      <w:r w:rsidRPr="00777CB4">
        <w:rPr>
          <w:rFonts w:ascii="Bookman Old Style" w:hAnsi="Bookman Old Style"/>
          <w:b/>
          <w:bCs/>
        </w:rPr>
        <w:t>per l'anno 2022</w:t>
      </w:r>
      <w:r w:rsidRPr="00777CB4">
        <w:rPr>
          <w:rFonts w:ascii="Bookman Old Style" w:hAnsi="Bookman Old Style"/>
        </w:rPr>
        <w:t>, l'importo del valore dei buoni sopra descritti, nel limite di 200 euro per lavoratore, non concorre alla formazione del reddito ai sensi dell'articolo 51, comma 3, del testo unico delle imposte sui redditi di cui al decreto del Presidente della Repubblica 22 dicembre 1986, n. 917 (TUIR).</w:t>
      </w:r>
    </w:p>
    <w:p w14:paraId="04218200" w14:textId="77777777" w:rsidR="00E95EC4" w:rsidRPr="00777CB4" w:rsidRDefault="00E95EC4" w:rsidP="00504C76">
      <w:pPr>
        <w:jc w:val="both"/>
        <w:rPr>
          <w:rFonts w:ascii="Bookman Old Style" w:hAnsi="Bookman Old Style" w:cstheme="minorBidi"/>
          <w:b/>
          <w:bCs/>
          <w:color w:val="002060"/>
          <w:lang w:eastAsia="en-US"/>
        </w:rPr>
      </w:pPr>
    </w:p>
    <w:p w14:paraId="46411C68" w14:textId="7D70F830" w:rsidR="00C26662" w:rsidRPr="00777CB4" w:rsidRDefault="00C26662" w:rsidP="00504C76">
      <w:pPr>
        <w:jc w:val="both"/>
        <w:rPr>
          <w:rFonts w:ascii="Bookman Old Style" w:hAnsi="Bookman Old Style" w:cstheme="minorBidi"/>
          <w:b/>
          <w:bCs/>
          <w:color w:val="002060"/>
          <w:lang w:eastAsia="en-US"/>
        </w:rPr>
      </w:pPr>
      <w:r w:rsidRPr="00777CB4">
        <w:rPr>
          <w:rFonts w:ascii="Bookman Old Style" w:hAnsi="Bookman Old Style" w:cstheme="minorBidi"/>
          <w:b/>
          <w:bCs/>
          <w:color w:val="002060"/>
          <w:lang w:eastAsia="en-US"/>
        </w:rPr>
        <w:lastRenderedPageBreak/>
        <w:t>MISURE IN TEMA DI PREZZI DELL’ENERGIA E DEL GAS</w:t>
      </w:r>
    </w:p>
    <w:p w14:paraId="4F0ACA29" w14:textId="6BFA5DBC" w:rsidR="00050B29" w:rsidRPr="00777CB4" w:rsidRDefault="00050B29" w:rsidP="00504C76">
      <w:pPr>
        <w:jc w:val="both"/>
        <w:rPr>
          <w:rFonts w:ascii="Bookman Old Style" w:hAnsi="Bookman Old Style" w:cstheme="minorBidi"/>
          <w:b/>
          <w:bCs/>
          <w:lang w:eastAsia="en-US"/>
        </w:rPr>
      </w:pPr>
    </w:p>
    <w:p w14:paraId="0C61FAFD" w14:textId="28DB0EFC" w:rsidR="001001A2" w:rsidRPr="00777CB4" w:rsidRDefault="004661A9" w:rsidP="00504C76">
      <w:pPr>
        <w:pStyle w:val="Paragrafoelenco"/>
        <w:numPr>
          <w:ilvl w:val="0"/>
          <w:numId w:val="1"/>
        </w:numPr>
        <w:shd w:val="clear" w:color="auto" w:fill="FFFFFF"/>
        <w:jc w:val="both"/>
        <w:rPr>
          <w:rFonts w:ascii="Bookman Old Style" w:hAnsi="Bookman Old Style"/>
          <w:color w:val="002060"/>
        </w:rPr>
      </w:pPr>
      <w:r w:rsidRPr="00777CB4">
        <w:rPr>
          <w:rFonts w:ascii="Bookman Old Style" w:hAnsi="Bookman Old Style"/>
          <w:b/>
          <w:bCs/>
          <w:i/>
          <w:iCs/>
          <w:color w:val="002060"/>
        </w:rPr>
        <w:t>Bonus sociale elettricità e gas</w:t>
      </w:r>
      <w:r w:rsidR="00EF1C19" w:rsidRPr="00777CB4">
        <w:rPr>
          <w:rFonts w:ascii="Bookman Old Style" w:hAnsi="Bookman Old Style"/>
          <w:b/>
          <w:bCs/>
          <w:i/>
          <w:iCs/>
          <w:color w:val="002060"/>
        </w:rPr>
        <w:t xml:space="preserve"> (</w:t>
      </w:r>
      <w:r w:rsidR="001001A2" w:rsidRPr="00777CB4">
        <w:rPr>
          <w:rFonts w:ascii="Bookman Old Style" w:hAnsi="Bookman Old Style"/>
          <w:b/>
          <w:bCs/>
          <w:i/>
          <w:iCs/>
          <w:color w:val="002060"/>
        </w:rPr>
        <w:t>Art. 6</w:t>
      </w:r>
      <w:r w:rsidR="00EF1C19" w:rsidRPr="00777CB4">
        <w:rPr>
          <w:rFonts w:ascii="Bookman Old Style" w:hAnsi="Bookman Old Style"/>
          <w:b/>
          <w:bCs/>
          <w:i/>
          <w:iCs/>
          <w:color w:val="002060"/>
        </w:rPr>
        <w:t>)</w:t>
      </w:r>
    </w:p>
    <w:p w14:paraId="795B48EF" w14:textId="77777777" w:rsidR="001001A2" w:rsidRPr="00777CB4" w:rsidRDefault="001001A2" w:rsidP="00504C76">
      <w:pPr>
        <w:pStyle w:val="Paragrafoelenco"/>
        <w:shd w:val="clear" w:color="auto" w:fill="FFFFFF"/>
        <w:jc w:val="both"/>
        <w:rPr>
          <w:rFonts w:ascii="Bookman Old Style" w:hAnsi="Bookman Old Style"/>
        </w:rPr>
      </w:pPr>
    </w:p>
    <w:p w14:paraId="25BB2D24" w14:textId="594368F6" w:rsidR="004661A9" w:rsidRPr="00777CB4" w:rsidRDefault="004661A9" w:rsidP="00504C76">
      <w:pPr>
        <w:shd w:val="clear" w:color="auto" w:fill="FFFFFF"/>
        <w:jc w:val="both"/>
        <w:rPr>
          <w:rFonts w:ascii="Bookman Old Style" w:hAnsi="Bookman Old Style"/>
          <w:color w:val="000000"/>
          <w:shd w:val="clear" w:color="auto" w:fill="FFFFFF"/>
        </w:rPr>
      </w:pPr>
      <w:r w:rsidRPr="00777CB4">
        <w:rPr>
          <w:rFonts w:ascii="Bookman Old Style" w:hAnsi="Bookman Old Style"/>
        </w:rPr>
        <w:t>La disposizione estende la platea delle famiglie che possono accedere ai bonus sociali per l'elettricità e per il gas, elevando, per il periodo 1° aprile – 31 dicembre 2022, da 8.265 euro a 12.000 euro il valore soglia dell’ISEE per l’accesso delle famiglie economicamente svantaggiate ai bonus in questione.</w:t>
      </w:r>
      <w:r w:rsidR="00314B41" w:rsidRPr="00777CB4">
        <w:rPr>
          <w:rFonts w:ascii="Bookman Old Style" w:hAnsi="Bookman Old Style"/>
        </w:rPr>
        <w:t xml:space="preserve"> C</w:t>
      </w:r>
      <w:r w:rsidR="005235E3" w:rsidRPr="00777CB4">
        <w:rPr>
          <w:rFonts w:ascii="Bookman Old Style" w:hAnsi="Bookman Old Style"/>
          <w:color w:val="000000"/>
          <w:shd w:val="clear" w:color="auto" w:fill="FFFFFF"/>
        </w:rPr>
        <w:t>on i </w:t>
      </w:r>
      <w:r w:rsidR="005235E3" w:rsidRPr="00777CB4">
        <w:rPr>
          <w:rFonts w:ascii="Bookman Old Style" w:hAnsi="Bookman Old Style"/>
          <w:i/>
          <w:iCs/>
          <w:color w:val="000000"/>
          <w:shd w:val="clear" w:color="auto" w:fill="FFFFFF"/>
        </w:rPr>
        <w:t>bonus</w:t>
      </w:r>
      <w:r w:rsidR="005235E3" w:rsidRPr="00777CB4">
        <w:rPr>
          <w:rFonts w:ascii="Bookman Old Style" w:hAnsi="Bookman Old Style"/>
          <w:color w:val="000000"/>
          <w:shd w:val="clear" w:color="auto" w:fill="FFFFFF"/>
        </w:rPr>
        <w:t>, non vengono corrisposte somme al beneficiario, ma gli importi del </w:t>
      </w:r>
      <w:r w:rsidR="005235E3" w:rsidRPr="00777CB4">
        <w:rPr>
          <w:rFonts w:ascii="Bookman Old Style" w:hAnsi="Bookman Old Style"/>
          <w:i/>
          <w:iCs/>
          <w:color w:val="000000"/>
          <w:shd w:val="clear" w:color="auto" w:fill="FFFFFF"/>
        </w:rPr>
        <w:t>bonus</w:t>
      </w:r>
      <w:r w:rsidR="005235E3" w:rsidRPr="00777CB4">
        <w:rPr>
          <w:rFonts w:ascii="Bookman Old Style" w:hAnsi="Bookman Old Style"/>
          <w:color w:val="000000"/>
          <w:shd w:val="clear" w:color="auto" w:fill="FFFFFF"/>
        </w:rPr>
        <w:t> vengono compensati nella bolletta. L'importo del </w:t>
      </w:r>
      <w:r w:rsidR="005235E3" w:rsidRPr="00777CB4">
        <w:rPr>
          <w:rFonts w:ascii="Bookman Old Style" w:hAnsi="Bookman Old Style"/>
          <w:b/>
          <w:bCs/>
          <w:i/>
          <w:iCs/>
          <w:color w:val="000000"/>
          <w:shd w:val="clear" w:color="auto" w:fill="FFFFFF"/>
        </w:rPr>
        <w:t>bonus</w:t>
      </w:r>
      <w:r w:rsidR="005235E3" w:rsidRPr="00777CB4">
        <w:rPr>
          <w:rFonts w:ascii="Bookman Old Style" w:hAnsi="Bookman Old Style"/>
          <w:b/>
          <w:bCs/>
          <w:color w:val="000000"/>
          <w:shd w:val="clear" w:color="auto" w:fill="FFFFFF"/>
        </w:rPr>
        <w:t> viene scontato direttamente sulla bolletta elettrica</w:t>
      </w:r>
      <w:r w:rsidR="005235E3" w:rsidRPr="00777CB4">
        <w:rPr>
          <w:rFonts w:ascii="Bookman Old Style" w:hAnsi="Bookman Old Style"/>
          <w:color w:val="000000"/>
          <w:shd w:val="clear" w:color="auto" w:fill="FFFFFF"/>
        </w:rPr>
        <w:t> suddiviso nelle diverse bollette corrispondenti ai consumi dei 12 mesi successivi alla presentazione della domanda. Ogni bolletta riporta una parte del </w:t>
      </w:r>
      <w:r w:rsidR="005235E3" w:rsidRPr="00777CB4">
        <w:rPr>
          <w:rFonts w:ascii="Bookman Old Style" w:hAnsi="Bookman Old Style"/>
          <w:i/>
          <w:iCs/>
          <w:color w:val="000000"/>
          <w:shd w:val="clear" w:color="auto" w:fill="FFFFFF"/>
        </w:rPr>
        <w:t>bonus</w:t>
      </w:r>
      <w:r w:rsidR="005235E3" w:rsidRPr="00777CB4">
        <w:rPr>
          <w:rFonts w:ascii="Bookman Old Style" w:hAnsi="Bookman Old Style"/>
          <w:color w:val="000000"/>
          <w:shd w:val="clear" w:color="auto" w:fill="FFFFFF"/>
        </w:rPr>
        <w:t> proporzionale al periodo cui la bolletta fa riferimento.</w:t>
      </w:r>
    </w:p>
    <w:p w14:paraId="0A1E7804" w14:textId="5CADF7E6" w:rsidR="00774424" w:rsidRPr="00777CB4" w:rsidRDefault="00774424" w:rsidP="00504C76">
      <w:pPr>
        <w:shd w:val="clear" w:color="auto" w:fill="FFFFFF"/>
        <w:jc w:val="both"/>
        <w:rPr>
          <w:rFonts w:ascii="Bookman Old Style" w:hAnsi="Bookman Old Style"/>
          <w:color w:val="000000"/>
          <w:shd w:val="clear" w:color="auto" w:fill="FFFFFF"/>
        </w:rPr>
      </w:pPr>
    </w:p>
    <w:p w14:paraId="3B28C576" w14:textId="262C02DB" w:rsidR="00603D19" w:rsidRPr="00777CB4" w:rsidRDefault="00603D19" w:rsidP="00504C76">
      <w:pPr>
        <w:shd w:val="clear" w:color="auto" w:fill="FFFFFF"/>
        <w:jc w:val="both"/>
        <w:rPr>
          <w:rFonts w:ascii="Bookman Old Style" w:hAnsi="Bookman Old Style"/>
          <w:color w:val="000000"/>
          <w:shd w:val="clear" w:color="auto" w:fill="FFFFFF"/>
        </w:rPr>
      </w:pPr>
    </w:p>
    <w:p w14:paraId="01764DE0" w14:textId="5AA3847F" w:rsidR="00603D19" w:rsidRPr="00777CB4" w:rsidRDefault="0066338C" w:rsidP="00504C76">
      <w:pPr>
        <w:shd w:val="clear" w:color="auto" w:fill="FFFFFF"/>
        <w:jc w:val="both"/>
        <w:rPr>
          <w:rFonts w:ascii="Bookman Old Style" w:hAnsi="Bookman Old Style"/>
          <w:b/>
          <w:bCs/>
          <w:color w:val="002060"/>
          <w:shd w:val="clear" w:color="auto" w:fill="FFFFFF"/>
        </w:rPr>
      </w:pPr>
      <w:r w:rsidRPr="00777CB4">
        <w:rPr>
          <w:rFonts w:ascii="Bookman Old Style" w:hAnsi="Bookman Old Style"/>
          <w:b/>
          <w:bCs/>
          <w:color w:val="002060"/>
          <w:shd w:val="clear" w:color="auto" w:fill="FFFFFF"/>
        </w:rPr>
        <w:t>CONTRATTI PUBBLICI</w:t>
      </w:r>
    </w:p>
    <w:p w14:paraId="4A91A2A6" w14:textId="77777777" w:rsidR="005235E3" w:rsidRPr="00777CB4" w:rsidRDefault="005235E3" w:rsidP="00504C76">
      <w:pPr>
        <w:jc w:val="both"/>
        <w:rPr>
          <w:rFonts w:ascii="Bookman Old Style" w:hAnsi="Bookman Old Style"/>
          <w:b/>
          <w:bCs/>
          <w:i/>
          <w:iCs/>
        </w:rPr>
      </w:pPr>
    </w:p>
    <w:p w14:paraId="0A6AA55D" w14:textId="792EA3E2" w:rsidR="00E11053" w:rsidRPr="00777CB4" w:rsidRDefault="004661A9" w:rsidP="00504C76">
      <w:pPr>
        <w:pStyle w:val="Paragrafoelenco"/>
        <w:numPr>
          <w:ilvl w:val="0"/>
          <w:numId w:val="2"/>
        </w:numPr>
        <w:jc w:val="both"/>
        <w:rPr>
          <w:rFonts w:ascii="Bookman Old Style" w:hAnsi="Bookman Old Style"/>
          <w:i/>
          <w:iCs/>
          <w:color w:val="002060"/>
        </w:rPr>
      </w:pPr>
      <w:r w:rsidRPr="00777CB4">
        <w:rPr>
          <w:rFonts w:ascii="Bookman Old Style" w:hAnsi="Bookman Old Style"/>
          <w:b/>
          <w:bCs/>
          <w:i/>
          <w:iCs/>
          <w:color w:val="002060"/>
        </w:rPr>
        <w:t>Revisione Prezzi</w:t>
      </w:r>
      <w:r w:rsidR="000221F7" w:rsidRPr="00777CB4">
        <w:rPr>
          <w:rFonts w:ascii="Bookman Old Style" w:hAnsi="Bookman Old Style"/>
          <w:b/>
          <w:bCs/>
          <w:i/>
          <w:iCs/>
          <w:color w:val="002060"/>
        </w:rPr>
        <w:t xml:space="preserve"> (</w:t>
      </w:r>
      <w:r w:rsidR="00E11053" w:rsidRPr="00777CB4">
        <w:rPr>
          <w:rFonts w:ascii="Bookman Old Style" w:hAnsi="Bookman Old Style"/>
          <w:b/>
          <w:bCs/>
          <w:i/>
          <w:iCs/>
          <w:color w:val="002060"/>
        </w:rPr>
        <w:t>Art. 23</w:t>
      </w:r>
      <w:r w:rsidR="000221F7" w:rsidRPr="00777CB4">
        <w:rPr>
          <w:rFonts w:ascii="Bookman Old Style" w:hAnsi="Bookman Old Style"/>
          <w:b/>
          <w:bCs/>
          <w:i/>
          <w:iCs/>
          <w:color w:val="002060"/>
        </w:rPr>
        <w:t>)</w:t>
      </w:r>
    </w:p>
    <w:p w14:paraId="6BB8EAC3" w14:textId="77777777" w:rsidR="00E11053" w:rsidRPr="00777CB4" w:rsidRDefault="00E11053" w:rsidP="00504C76">
      <w:pPr>
        <w:pStyle w:val="Paragrafoelenco"/>
        <w:jc w:val="both"/>
        <w:rPr>
          <w:rFonts w:ascii="Bookman Old Style" w:hAnsi="Bookman Old Style"/>
        </w:rPr>
      </w:pPr>
    </w:p>
    <w:p w14:paraId="18BF71B5" w14:textId="0627651F" w:rsidR="004661A9" w:rsidRPr="00777CB4" w:rsidRDefault="00D352CB" w:rsidP="00504C76">
      <w:pPr>
        <w:jc w:val="both"/>
        <w:rPr>
          <w:rFonts w:ascii="Bookman Old Style" w:hAnsi="Bookman Old Style"/>
        </w:rPr>
      </w:pPr>
      <w:r w:rsidRPr="00777CB4">
        <w:rPr>
          <w:rFonts w:ascii="Bookman Old Style" w:hAnsi="Bookman Old Style"/>
        </w:rPr>
        <w:t>Il n</w:t>
      </w:r>
      <w:r w:rsidR="004661A9" w:rsidRPr="00777CB4">
        <w:rPr>
          <w:rFonts w:ascii="Bookman Old Style" w:hAnsi="Bookman Old Style"/>
        </w:rPr>
        <w:t xml:space="preserve">uovo intervento </w:t>
      </w:r>
      <w:r w:rsidRPr="00777CB4">
        <w:rPr>
          <w:rFonts w:ascii="Bookman Old Style" w:hAnsi="Bookman Old Style"/>
        </w:rPr>
        <w:t>è volto a</w:t>
      </w:r>
      <w:r w:rsidR="004661A9" w:rsidRPr="00777CB4">
        <w:rPr>
          <w:rFonts w:ascii="Bookman Old Style" w:hAnsi="Bookman Old Style"/>
        </w:rPr>
        <w:t xml:space="preserve"> mitigare gli effetti economici derivanti dagli aumenti eccezionali dei prezzi di alcuni materiali da costruzione, nonché dei carburanti e dei prodotti energetici.</w:t>
      </w:r>
    </w:p>
    <w:p w14:paraId="0379E601" w14:textId="77777777" w:rsidR="004661A9" w:rsidRPr="00777CB4" w:rsidRDefault="004661A9" w:rsidP="00504C76">
      <w:pPr>
        <w:jc w:val="both"/>
        <w:rPr>
          <w:rFonts w:ascii="Bookman Old Style" w:hAnsi="Bookman Old Style"/>
          <w:b/>
          <w:bCs/>
        </w:rPr>
      </w:pPr>
      <w:proofErr w:type="gramStart"/>
      <w:r w:rsidRPr="00777CB4">
        <w:rPr>
          <w:rFonts w:ascii="Bookman Old Style" w:hAnsi="Bookman Old Style"/>
          <w:b/>
          <w:bCs/>
        </w:rPr>
        <w:t>E’</w:t>
      </w:r>
      <w:proofErr w:type="gramEnd"/>
      <w:r w:rsidRPr="00777CB4">
        <w:rPr>
          <w:rFonts w:ascii="Bookman Old Style" w:hAnsi="Bookman Old Style"/>
          <w:b/>
          <w:bCs/>
        </w:rPr>
        <w:t xml:space="preserve"> previsto che il Ministero delle infrastrutture e della mobilità sostenibili (MIMS) possa anticipare fino al 50% dell’importo richiesto in relazione alle domande di accesso ai Fondo</w:t>
      </w:r>
      <w:r w:rsidRPr="00777CB4">
        <w:rPr>
          <w:rFonts w:ascii="Bookman Old Style" w:hAnsi="Bookman Old Style"/>
        </w:rPr>
        <w:t xml:space="preserve"> di compensazione per la variazione dei prezzi dei materiali da costruzione, istituito dal dl 73/2021, per le richieste presentate sia ai sensi dell’articolo 1 </w:t>
      </w:r>
      <w:proofErr w:type="spellStart"/>
      <w:r w:rsidRPr="00777CB4">
        <w:rPr>
          <w:rFonts w:ascii="Bookman Old Style" w:hAnsi="Bookman Old Style"/>
        </w:rPr>
        <w:t>septies</w:t>
      </w:r>
      <w:proofErr w:type="spellEnd"/>
      <w:r w:rsidRPr="00777CB4">
        <w:rPr>
          <w:rFonts w:ascii="Bookman Old Style" w:hAnsi="Bookman Old Style"/>
        </w:rPr>
        <w:t xml:space="preserve">, comma 7 dello stesso dl 73/2021 che ai sensi dell’articolo 25, comma 8 del dl 17/2022. </w:t>
      </w:r>
      <w:r w:rsidRPr="00777CB4">
        <w:rPr>
          <w:rFonts w:ascii="Bookman Old Style" w:hAnsi="Bookman Old Style"/>
          <w:b/>
          <w:bCs/>
        </w:rPr>
        <w:t xml:space="preserve">Tale anticipazione è elargita nel limite complessivo del 50% delle risorse del medesimo Fondo e nelle more dello svolgimento dell’attività istruttoria delle istanze proposte. </w:t>
      </w:r>
    </w:p>
    <w:p w14:paraId="76795F25" w14:textId="77777777" w:rsidR="004661A9" w:rsidRPr="00777CB4" w:rsidRDefault="004661A9" w:rsidP="00504C76">
      <w:pPr>
        <w:jc w:val="both"/>
        <w:rPr>
          <w:rFonts w:ascii="Bookman Old Style" w:hAnsi="Bookman Old Style"/>
          <w:b/>
          <w:bCs/>
        </w:rPr>
      </w:pPr>
      <w:r w:rsidRPr="00777CB4">
        <w:rPr>
          <w:rFonts w:ascii="Bookman Old Style" w:hAnsi="Bookman Old Style"/>
        </w:rPr>
        <w:t xml:space="preserve">Ad esito di tali attività il MIMS può disporre la ripetizione totale o parziale dell’importo erogato a titolo di anticipazione da versare all’entrata del bilancio dello Stato per una eventuale successiva riassegnazione allo stesso fondo. Per contrastare i rincari dei materiali, lo stesso </w:t>
      </w:r>
      <w:r w:rsidRPr="00777CB4">
        <w:rPr>
          <w:rFonts w:ascii="Bookman Old Style" w:hAnsi="Bookman Old Style"/>
          <w:b/>
          <w:bCs/>
        </w:rPr>
        <w:t xml:space="preserve">fondo di cui all’articolo 1 </w:t>
      </w:r>
      <w:proofErr w:type="spellStart"/>
      <w:r w:rsidRPr="00777CB4">
        <w:rPr>
          <w:rFonts w:ascii="Bookman Old Style" w:hAnsi="Bookman Old Style"/>
          <w:b/>
          <w:bCs/>
        </w:rPr>
        <w:t>septies</w:t>
      </w:r>
      <w:proofErr w:type="spellEnd"/>
      <w:r w:rsidRPr="00777CB4">
        <w:rPr>
          <w:rFonts w:ascii="Bookman Old Style" w:hAnsi="Bookman Old Style"/>
          <w:b/>
          <w:bCs/>
        </w:rPr>
        <w:t xml:space="preserve"> del dl 73/2021 è incrementato di 120 milioni di euro per l’anno 2022.</w:t>
      </w:r>
    </w:p>
    <w:p w14:paraId="294403C8" w14:textId="520051DC" w:rsidR="004661A9" w:rsidRPr="00777CB4" w:rsidRDefault="004661A9" w:rsidP="00504C76">
      <w:pPr>
        <w:jc w:val="both"/>
        <w:rPr>
          <w:rFonts w:ascii="Bookman Old Style" w:hAnsi="Bookman Old Style"/>
          <w:b/>
          <w:bCs/>
        </w:rPr>
      </w:pPr>
      <w:r w:rsidRPr="00777CB4">
        <w:rPr>
          <w:rFonts w:ascii="Bookman Old Style" w:hAnsi="Bookman Old Style"/>
        </w:rPr>
        <w:t xml:space="preserve">Inoltre, per le medesime finalità, la nuova norma assegna </w:t>
      </w:r>
      <w:r w:rsidRPr="00777CB4">
        <w:rPr>
          <w:rFonts w:ascii="Bookman Old Style" w:hAnsi="Bookman Old Style"/>
          <w:b/>
          <w:bCs/>
        </w:rPr>
        <w:t>ulteriori 200 milioni di euro al fondo per la prosecuzione delle opere pubbliche, di cui al dl 76/2020, destinati fino al 31.12.2026, a coprire i rincari dei contratti per i lavori delle opere che si avvalgono, in tutto o in parte di risorse PNRR e PNC.</w:t>
      </w:r>
    </w:p>
    <w:p w14:paraId="71513F95" w14:textId="55012F17" w:rsidR="00195CAB" w:rsidRPr="00777CB4" w:rsidRDefault="00195CAB" w:rsidP="00504C76">
      <w:pPr>
        <w:jc w:val="both"/>
        <w:rPr>
          <w:rFonts w:ascii="Bookman Old Style" w:hAnsi="Bookman Old Style"/>
          <w:b/>
          <w:bCs/>
        </w:rPr>
      </w:pPr>
    </w:p>
    <w:p w14:paraId="6213200E" w14:textId="77777777" w:rsidR="004F30F2" w:rsidRPr="00777CB4" w:rsidRDefault="004F30F2" w:rsidP="004F30F2">
      <w:pPr>
        <w:jc w:val="both"/>
        <w:rPr>
          <w:rFonts w:ascii="Bookman Old Style" w:hAnsi="Bookman Old Style"/>
          <w:b/>
          <w:bCs/>
          <w:color w:val="002060"/>
        </w:rPr>
      </w:pPr>
    </w:p>
    <w:p w14:paraId="12C1AA4E" w14:textId="77777777" w:rsidR="004F30F2" w:rsidRPr="00777CB4" w:rsidRDefault="004F30F2" w:rsidP="004F30F2">
      <w:pPr>
        <w:pStyle w:val="Default"/>
        <w:numPr>
          <w:ilvl w:val="0"/>
          <w:numId w:val="12"/>
        </w:numPr>
        <w:adjustRightInd/>
        <w:jc w:val="both"/>
        <w:rPr>
          <w:rFonts w:ascii="Bookman Old Style" w:eastAsia="Times New Roman" w:hAnsi="Bookman Old Style"/>
          <w:b/>
          <w:bCs/>
          <w:i/>
          <w:iCs/>
          <w:color w:val="002060"/>
          <w:sz w:val="22"/>
          <w:szCs w:val="22"/>
        </w:rPr>
      </w:pPr>
      <w:r w:rsidRPr="00777CB4">
        <w:rPr>
          <w:rFonts w:ascii="Bookman Old Style" w:eastAsia="Times New Roman" w:hAnsi="Bookman Old Style"/>
          <w:b/>
          <w:bCs/>
          <w:i/>
          <w:iCs/>
          <w:color w:val="002060"/>
          <w:sz w:val="22"/>
          <w:szCs w:val="22"/>
        </w:rPr>
        <w:t>Applicazione di contratti collettivi di lavoro nel settore edile ai fini dell'applicazione di benefici (Art. 23 bis)</w:t>
      </w:r>
    </w:p>
    <w:p w14:paraId="2AAF376C" w14:textId="77777777" w:rsidR="004F30F2" w:rsidRPr="00777CB4" w:rsidRDefault="004F30F2" w:rsidP="004F30F2">
      <w:pPr>
        <w:pStyle w:val="Default"/>
        <w:jc w:val="both"/>
        <w:rPr>
          <w:rFonts w:ascii="Bookman Old Style" w:hAnsi="Bookman Old Style"/>
          <w:sz w:val="22"/>
          <w:szCs w:val="22"/>
        </w:rPr>
      </w:pPr>
    </w:p>
    <w:p w14:paraId="1EEDEFD8" w14:textId="7349B89D" w:rsidR="004F30F2" w:rsidRPr="00777CB4" w:rsidRDefault="004F30F2" w:rsidP="004F30F2">
      <w:pPr>
        <w:jc w:val="both"/>
        <w:rPr>
          <w:rFonts w:ascii="Bookman Old Style" w:hAnsi="Bookman Old Style"/>
        </w:rPr>
      </w:pPr>
      <w:r w:rsidRPr="009A4F74">
        <w:rPr>
          <w:rFonts w:ascii="Bookman Old Style" w:hAnsi="Bookman Old Style"/>
        </w:rPr>
        <w:t>La norma</w:t>
      </w:r>
      <w:r w:rsidRPr="00777CB4">
        <w:rPr>
          <w:rFonts w:ascii="Bookman Old Style" w:hAnsi="Bookman Old Style"/>
          <w:b/>
          <w:bCs/>
        </w:rPr>
        <w:t xml:space="preserve"> </w:t>
      </w:r>
      <w:r w:rsidRPr="00777CB4">
        <w:rPr>
          <w:rFonts w:ascii="Bookman Old Style" w:hAnsi="Bookman Old Style"/>
        </w:rPr>
        <w:t xml:space="preserve">prevede per </w:t>
      </w:r>
      <w:r w:rsidRPr="00777CB4">
        <w:rPr>
          <w:rFonts w:ascii="Bookman Old Style" w:hAnsi="Bookman Old Style"/>
          <w:b/>
          <w:bCs/>
        </w:rPr>
        <w:t>i lavori edili</w:t>
      </w:r>
      <w:r w:rsidRPr="00777CB4">
        <w:rPr>
          <w:rFonts w:ascii="Bookman Old Style" w:hAnsi="Bookman Old Style"/>
        </w:rPr>
        <w:t xml:space="preserve"> - rientranti nell'allegato X del </w:t>
      </w:r>
      <w:proofErr w:type="spellStart"/>
      <w:r w:rsidRPr="00777CB4">
        <w:rPr>
          <w:rFonts w:ascii="Bookman Old Style" w:hAnsi="Bookman Old Style"/>
        </w:rPr>
        <w:t>D.Lgs.</w:t>
      </w:r>
      <w:proofErr w:type="spellEnd"/>
      <w:r w:rsidRPr="00777CB4">
        <w:rPr>
          <w:rFonts w:ascii="Bookman Old Style" w:hAnsi="Bookman Old Style"/>
        </w:rPr>
        <w:t xml:space="preserve"> 9 aprile 2008, n. 81, e successive modificazioni - </w:t>
      </w:r>
      <w:r w:rsidRPr="00777CB4">
        <w:rPr>
          <w:rFonts w:ascii="Bookman Old Style" w:hAnsi="Bookman Old Style"/>
          <w:b/>
          <w:bCs/>
        </w:rPr>
        <w:t xml:space="preserve">aventi importo complessivo </w:t>
      </w:r>
      <w:r w:rsidRPr="00777CB4">
        <w:rPr>
          <w:rFonts w:ascii="Bookman Old Style" w:hAnsi="Bookman Old Style"/>
        </w:rPr>
        <w:t>superiore a 70.000 euro e avviati successivamente al 27 maggio 2022, che il riconoscimento di alcuni benefici fiscali (superbonus 110, contributi per interventi di superamento barriere architettoniche, ristrutturazioni, ecc.) è condizionato all'indicazione, nell’atto di affidamento dei lavori e dell'esecuzione degli stessi da parte dei datori di lavoro, dell’applicazione dei contratti collettivi di lavoro del settore edile, nazionale e territoriali, stipulati dalle associazioni datoriali e sindacali comparativamente più rappresentative sul piano nazionale. La modifica in oggetto</w:t>
      </w:r>
      <w:r w:rsidRPr="00777CB4">
        <w:rPr>
          <w:rFonts w:ascii="Bookman Old Style" w:hAnsi="Bookman Old Style"/>
          <w:i/>
          <w:iCs/>
        </w:rPr>
        <w:t xml:space="preserve"> </w:t>
      </w:r>
      <w:r w:rsidRPr="00777CB4">
        <w:rPr>
          <w:rFonts w:ascii="Bookman Old Style" w:hAnsi="Bookman Old Style"/>
        </w:rPr>
        <w:t xml:space="preserve">specifica che la condizione è rispettata anche qualora i datori in esame </w:t>
      </w:r>
      <w:r w:rsidRPr="00777CB4">
        <w:rPr>
          <w:rFonts w:ascii="Bookman Old Style" w:hAnsi="Bookman Old Style"/>
        </w:rPr>
        <w:lastRenderedPageBreak/>
        <w:t>applichino, per lavori diversi da quelli edili di cui al citato allegato X, altri contratti collettivi, non rientranti nella suddetta definizione.</w:t>
      </w:r>
    </w:p>
    <w:p w14:paraId="0F94B25C" w14:textId="77777777" w:rsidR="00195CAB" w:rsidRPr="00777CB4" w:rsidRDefault="00195CAB" w:rsidP="00504C76">
      <w:pPr>
        <w:jc w:val="both"/>
        <w:rPr>
          <w:rFonts w:ascii="Bookman Old Style" w:hAnsi="Bookman Old Style"/>
        </w:rPr>
      </w:pPr>
    </w:p>
    <w:p w14:paraId="3151D484" w14:textId="77777777" w:rsidR="004661A9" w:rsidRPr="00777CB4" w:rsidRDefault="004661A9" w:rsidP="00504C76">
      <w:pPr>
        <w:shd w:val="clear" w:color="auto" w:fill="FFFFFF"/>
        <w:jc w:val="both"/>
        <w:rPr>
          <w:rFonts w:ascii="Bookman Old Style" w:hAnsi="Bookman Old Style"/>
          <w:b/>
          <w:bCs/>
        </w:rPr>
      </w:pPr>
    </w:p>
    <w:p w14:paraId="1C44D335" w14:textId="2604899A" w:rsidR="004661A9" w:rsidRPr="00777CB4" w:rsidRDefault="00B135CD" w:rsidP="00504C76">
      <w:pPr>
        <w:jc w:val="both"/>
        <w:rPr>
          <w:rFonts w:ascii="Bookman Old Style" w:hAnsi="Bookman Old Style"/>
          <w:b/>
          <w:bCs/>
          <w:color w:val="002060"/>
        </w:rPr>
      </w:pPr>
      <w:r w:rsidRPr="00777CB4">
        <w:rPr>
          <w:rFonts w:ascii="Bookman Old Style" w:hAnsi="Bookman Old Style"/>
          <w:b/>
          <w:bCs/>
          <w:color w:val="002060"/>
        </w:rPr>
        <w:t>CYBERSICUREZZA DELLE RETI</w:t>
      </w:r>
    </w:p>
    <w:p w14:paraId="171FA7B3" w14:textId="77777777" w:rsidR="00B135CD" w:rsidRPr="00777CB4" w:rsidRDefault="00B135CD" w:rsidP="00504C76">
      <w:pPr>
        <w:jc w:val="both"/>
        <w:rPr>
          <w:rFonts w:ascii="Bookman Old Style" w:hAnsi="Bookman Old Style"/>
          <w:b/>
          <w:bCs/>
        </w:rPr>
      </w:pPr>
    </w:p>
    <w:p w14:paraId="0EF10092" w14:textId="4EFA058B" w:rsidR="004950A0" w:rsidRPr="00777CB4" w:rsidRDefault="004661A9" w:rsidP="00504C76">
      <w:pPr>
        <w:pStyle w:val="Paragrafoelenco"/>
        <w:numPr>
          <w:ilvl w:val="0"/>
          <w:numId w:val="3"/>
        </w:numPr>
        <w:jc w:val="both"/>
        <w:rPr>
          <w:rFonts w:ascii="Bookman Old Style" w:hAnsi="Bookman Old Style"/>
          <w:i/>
          <w:iCs/>
          <w:color w:val="002060"/>
        </w:rPr>
      </w:pPr>
      <w:r w:rsidRPr="00777CB4">
        <w:rPr>
          <w:rFonts w:ascii="Bookman Old Style" w:hAnsi="Bookman Old Style"/>
          <w:b/>
          <w:bCs/>
          <w:i/>
          <w:iCs/>
          <w:color w:val="002060"/>
        </w:rPr>
        <w:t>Disposizioni relative alla sicurezza cibernetica</w:t>
      </w:r>
      <w:r w:rsidR="004950A0" w:rsidRPr="00777CB4">
        <w:rPr>
          <w:rFonts w:ascii="Bookman Old Style" w:hAnsi="Bookman Old Style"/>
          <w:b/>
          <w:bCs/>
          <w:i/>
          <w:iCs/>
          <w:color w:val="002060"/>
        </w:rPr>
        <w:t>-</w:t>
      </w:r>
      <w:r w:rsidRPr="00777CB4">
        <w:rPr>
          <w:rFonts w:ascii="Bookman Old Style" w:hAnsi="Bookman Old Style"/>
          <w:i/>
          <w:iCs/>
          <w:color w:val="002060"/>
        </w:rPr>
        <w:t xml:space="preserve"> </w:t>
      </w:r>
      <w:r w:rsidR="004950A0" w:rsidRPr="00777CB4">
        <w:rPr>
          <w:rFonts w:ascii="Bookman Old Style" w:hAnsi="Bookman Old Style"/>
          <w:b/>
          <w:bCs/>
          <w:i/>
          <w:iCs/>
          <w:color w:val="002060"/>
        </w:rPr>
        <w:t>Art. 29</w:t>
      </w:r>
    </w:p>
    <w:p w14:paraId="68B38182" w14:textId="77777777" w:rsidR="007A1317" w:rsidRPr="00777CB4" w:rsidRDefault="007A1317" w:rsidP="00504C76">
      <w:pPr>
        <w:pStyle w:val="Paragrafoelenco"/>
        <w:jc w:val="both"/>
        <w:rPr>
          <w:rFonts w:ascii="Bookman Old Style" w:hAnsi="Bookman Old Style"/>
        </w:rPr>
      </w:pPr>
    </w:p>
    <w:p w14:paraId="1AE44F7A" w14:textId="1B2D54C9" w:rsidR="00901B83" w:rsidRPr="00777CB4" w:rsidRDefault="00901B83" w:rsidP="00504C76">
      <w:pPr>
        <w:jc w:val="both"/>
        <w:rPr>
          <w:rFonts w:ascii="Bookman Old Style" w:hAnsi="Bookman Old Style"/>
        </w:rPr>
      </w:pPr>
      <w:r w:rsidRPr="00777CB4">
        <w:rPr>
          <w:rFonts w:ascii="Bookman Old Style" w:hAnsi="Bookman Old Style"/>
          <w:color w:val="000000"/>
          <w:shd w:val="clear" w:color="auto" w:fill="FFFFFF"/>
        </w:rPr>
        <w:t xml:space="preserve">La norma contiene disposizioni </w:t>
      </w:r>
      <w:r w:rsidR="005D2FD9" w:rsidRPr="00777CB4">
        <w:rPr>
          <w:rFonts w:ascii="Bookman Old Style" w:hAnsi="Bookman Old Style"/>
          <w:color w:val="000000"/>
          <w:shd w:val="clear" w:color="auto" w:fill="FFFFFF"/>
        </w:rPr>
        <w:t>per</w:t>
      </w:r>
      <w:r w:rsidRPr="00777CB4">
        <w:rPr>
          <w:rFonts w:ascii="Bookman Old Style" w:hAnsi="Bookman Old Style"/>
          <w:color w:val="000000"/>
          <w:shd w:val="clear" w:color="auto" w:fill="FFFFFF"/>
        </w:rPr>
        <w:t xml:space="preserve"> la diversificazione delle dotazioni informatiche delle pubbliche amministrazioni, al fine di prevenire i rischi alla sicurezza delle reti, dei sistemi informativi e dei servizi informatici. La norma fa riferimento ai rischi derivanti dalla possibilità della mancata fornitura dei necessari strumenti ed aggiornamenti da parte di aziende produttrici legate alla Federazione Russa, a seguito della crisi in Ucraina. </w:t>
      </w:r>
    </w:p>
    <w:p w14:paraId="17674A4F" w14:textId="6C0A61BF" w:rsidR="004661A9" w:rsidRPr="00777CB4" w:rsidRDefault="00B536BD" w:rsidP="00504C76">
      <w:pPr>
        <w:jc w:val="both"/>
        <w:rPr>
          <w:rFonts w:ascii="Bookman Old Style" w:hAnsi="Bookman Old Style"/>
        </w:rPr>
      </w:pPr>
      <w:r w:rsidRPr="00777CB4">
        <w:rPr>
          <w:rFonts w:ascii="Bookman Old Style" w:hAnsi="Bookman Old Style"/>
        </w:rPr>
        <w:t>P</w:t>
      </w:r>
      <w:r w:rsidR="004661A9" w:rsidRPr="00777CB4">
        <w:rPr>
          <w:rFonts w:ascii="Bookman Old Style" w:hAnsi="Bookman Old Style"/>
        </w:rPr>
        <w:t xml:space="preserve">revede la diversificazione dei software in uso (che saranno categorizzati in Circolare dell’Agenzia per la Cybersicurezza nazionale) di produzione della Federazione russa per le amministrazioni pubbliche inserite nell’elenco di cui all’art. 1 comma 2 del </w:t>
      </w:r>
      <w:proofErr w:type="spellStart"/>
      <w:r w:rsidR="004661A9" w:rsidRPr="00777CB4">
        <w:rPr>
          <w:rFonts w:ascii="Bookman Old Style" w:hAnsi="Bookman Old Style"/>
        </w:rPr>
        <w:t>dlgs</w:t>
      </w:r>
      <w:proofErr w:type="spellEnd"/>
      <w:r w:rsidR="004661A9" w:rsidRPr="00777CB4">
        <w:rPr>
          <w:rFonts w:ascii="Bookman Old Style" w:hAnsi="Bookman Old Style"/>
        </w:rPr>
        <w:t xml:space="preserve">. 165 del 2001. </w:t>
      </w:r>
    </w:p>
    <w:p w14:paraId="468E1B66" w14:textId="54BDEA1A" w:rsidR="00D95688" w:rsidRPr="00777CB4" w:rsidRDefault="00D95688" w:rsidP="00504C76">
      <w:pPr>
        <w:jc w:val="both"/>
        <w:rPr>
          <w:rFonts w:ascii="Bookman Old Style" w:hAnsi="Bookman Old Style"/>
        </w:rPr>
      </w:pPr>
    </w:p>
    <w:sectPr w:rsidR="00D95688" w:rsidRPr="00777CB4" w:rsidSect="004C3262">
      <w:footerReference w:type="defaul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EDE4" w14:textId="77777777" w:rsidR="008C16A5" w:rsidRDefault="008C16A5" w:rsidP="004C3262">
      <w:r>
        <w:separator/>
      </w:r>
    </w:p>
  </w:endnote>
  <w:endnote w:type="continuationSeparator" w:id="0">
    <w:p w14:paraId="5524E209" w14:textId="77777777" w:rsidR="008C16A5" w:rsidRDefault="008C16A5" w:rsidP="004C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637128"/>
      <w:docPartObj>
        <w:docPartGallery w:val="Page Numbers (Bottom of Page)"/>
        <w:docPartUnique/>
      </w:docPartObj>
    </w:sdtPr>
    <w:sdtEndPr/>
    <w:sdtContent>
      <w:p w14:paraId="1077846D" w14:textId="6B5C06A4" w:rsidR="004C3262" w:rsidRDefault="004C3262">
        <w:pPr>
          <w:pStyle w:val="Pidipagina"/>
          <w:jc w:val="center"/>
        </w:pPr>
        <w:r>
          <w:fldChar w:fldCharType="begin"/>
        </w:r>
        <w:r>
          <w:instrText>PAGE   \* MERGEFORMAT</w:instrText>
        </w:r>
        <w:r>
          <w:fldChar w:fldCharType="separate"/>
        </w:r>
        <w:r w:rsidR="00037F81">
          <w:rPr>
            <w:noProof/>
          </w:rPr>
          <w:t>4</w:t>
        </w:r>
        <w:r>
          <w:fldChar w:fldCharType="end"/>
        </w:r>
      </w:p>
    </w:sdtContent>
  </w:sdt>
  <w:p w14:paraId="456B49B9" w14:textId="77777777" w:rsidR="004C3262" w:rsidRDefault="004C3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D273B" w14:textId="77777777" w:rsidR="008C16A5" w:rsidRDefault="008C16A5" w:rsidP="004C3262">
      <w:r>
        <w:separator/>
      </w:r>
    </w:p>
  </w:footnote>
  <w:footnote w:type="continuationSeparator" w:id="0">
    <w:p w14:paraId="76D1DAD3" w14:textId="77777777" w:rsidR="008C16A5" w:rsidRDefault="008C16A5" w:rsidP="004C3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2561"/>
    <w:multiLevelType w:val="hybridMultilevel"/>
    <w:tmpl w:val="D390EBE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711AB2"/>
    <w:multiLevelType w:val="hybridMultilevel"/>
    <w:tmpl w:val="C9C059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3C2365"/>
    <w:multiLevelType w:val="hybridMultilevel"/>
    <w:tmpl w:val="C05C1460"/>
    <w:lvl w:ilvl="0" w:tplc="207EE1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596822"/>
    <w:multiLevelType w:val="hybridMultilevel"/>
    <w:tmpl w:val="3BEA14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8C5AD6"/>
    <w:multiLevelType w:val="multilevel"/>
    <w:tmpl w:val="FE6E80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5" w15:restartNumberingAfterBreak="0">
    <w:nsid w:val="5E095135"/>
    <w:multiLevelType w:val="hybridMultilevel"/>
    <w:tmpl w:val="0CB28A8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4A25C96"/>
    <w:multiLevelType w:val="hybridMultilevel"/>
    <w:tmpl w:val="6EECE5C2"/>
    <w:lvl w:ilvl="0" w:tplc="B840EFDC">
      <w:numFmt w:val="bullet"/>
      <w:lvlText w:val="-"/>
      <w:lvlJc w:val="left"/>
      <w:pPr>
        <w:ind w:left="720" w:hanging="360"/>
      </w:pPr>
      <w:rPr>
        <w:rFonts w:ascii="Bookman Old Style" w:eastAsia="Times New Roman" w:hAnsi="Bookman Old Style"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D4321D"/>
    <w:multiLevelType w:val="multilevel"/>
    <w:tmpl w:val="951E42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8" w15:restartNumberingAfterBreak="0">
    <w:nsid w:val="6AD65F5A"/>
    <w:multiLevelType w:val="hybridMultilevel"/>
    <w:tmpl w:val="370C58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BA5655F"/>
    <w:multiLevelType w:val="hybridMultilevel"/>
    <w:tmpl w:val="AB92B1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8D3B84"/>
    <w:multiLevelType w:val="hybridMultilevel"/>
    <w:tmpl w:val="D81AEF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8C054F"/>
    <w:multiLevelType w:val="hybridMultilevel"/>
    <w:tmpl w:val="AF607A0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946CF2"/>
    <w:multiLevelType w:val="hybridMultilevel"/>
    <w:tmpl w:val="D10AE8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4664809">
    <w:abstractNumId w:val="12"/>
  </w:num>
  <w:num w:numId="2" w16cid:durableId="1759788210">
    <w:abstractNumId w:val="1"/>
  </w:num>
  <w:num w:numId="3" w16cid:durableId="1620068483">
    <w:abstractNumId w:val="5"/>
  </w:num>
  <w:num w:numId="4" w16cid:durableId="1831364781">
    <w:abstractNumId w:val="10"/>
  </w:num>
  <w:num w:numId="5" w16cid:durableId="282201106">
    <w:abstractNumId w:val="3"/>
  </w:num>
  <w:num w:numId="6" w16cid:durableId="797992972">
    <w:abstractNumId w:val="11"/>
  </w:num>
  <w:num w:numId="7" w16cid:durableId="748117002">
    <w:abstractNumId w:val="2"/>
  </w:num>
  <w:num w:numId="8" w16cid:durableId="847598663">
    <w:abstractNumId w:val="7"/>
  </w:num>
  <w:num w:numId="9" w16cid:durableId="1601913439">
    <w:abstractNumId w:val="0"/>
  </w:num>
  <w:num w:numId="10" w16cid:durableId="2052998950">
    <w:abstractNumId w:val="8"/>
  </w:num>
  <w:num w:numId="11" w16cid:durableId="1391925689">
    <w:abstractNumId w:val="9"/>
  </w:num>
  <w:num w:numId="12" w16cid:durableId="2141262966">
    <w:abstractNumId w:val="1"/>
  </w:num>
  <w:num w:numId="13" w16cid:durableId="1877082927">
    <w:abstractNumId w:val="4"/>
  </w:num>
  <w:num w:numId="14" w16cid:durableId="4743702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857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1A9"/>
    <w:rsid w:val="00016B64"/>
    <w:rsid w:val="00021187"/>
    <w:rsid w:val="000216DD"/>
    <w:rsid w:val="000221F7"/>
    <w:rsid w:val="000274C7"/>
    <w:rsid w:val="000329B4"/>
    <w:rsid w:val="00037F81"/>
    <w:rsid w:val="0004311F"/>
    <w:rsid w:val="000445FF"/>
    <w:rsid w:val="00050B29"/>
    <w:rsid w:val="00060FB9"/>
    <w:rsid w:val="0006655A"/>
    <w:rsid w:val="00075541"/>
    <w:rsid w:val="00087994"/>
    <w:rsid w:val="00087F1F"/>
    <w:rsid w:val="000910B0"/>
    <w:rsid w:val="000934A8"/>
    <w:rsid w:val="000952CA"/>
    <w:rsid w:val="000956FE"/>
    <w:rsid w:val="000C1AA7"/>
    <w:rsid w:val="000D0E2F"/>
    <w:rsid w:val="000E4FA7"/>
    <w:rsid w:val="000F740C"/>
    <w:rsid w:val="001001A2"/>
    <w:rsid w:val="00105FB9"/>
    <w:rsid w:val="00111E12"/>
    <w:rsid w:val="0011346F"/>
    <w:rsid w:val="00126C95"/>
    <w:rsid w:val="00135770"/>
    <w:rsid w:val="00144D2C"/>
    <w:rsid w:val="00155DD7"/>
    <w:rsid w:val="00172A22"/>
    <w:rsid w:val="00195CAB"/>
    <w:rsid w:val="001D1A21"/>
    <w:rsid w:val="001D5972"/>
    <w:rsid w:val="001F3C58"/>
    <w:rsid w:val="001F4EC6"/>
    <w:rsid w:val="00204F86"/>
    <w:rsid w:val="00233FA8"/>
    <w:rsid w:val="00236E75"/>
    <w:rsid w:val="002402FE"/>
    <w:rsid w:val="00267A5A"/>
    <w:rsid w:val="00275A93"/>
    <w:rsid w:val="00277482"/>
    <w:rsid w:val="002827C0"/>
    <w:rsid w:val="00293CF7"/>
    <w:rsid w:val="002953D1"/>
    <w:rsid w:val="002B0EF8"/>
    <w:rsid w:val="002B22ED"/>
    <w:rsid w:val="002B3953"/>
    <w:rsid w:val="002B3BD8"/>
    <w:rsid w:val="002B5754"/>
    <w:rsid w:val="002C3C7A"/>
    <w:rsid w:val="002C4977"/>
    <w:rsid w:val="002D5D42"/>
    <w:rsid w:val="002D6C48"/>
    <w:rsid w:val="002E29D8"/>
    <w:rsid w:val="002F4484"/>
    <w:rsid w:val="002F5400"/>
    <w:rsid w:val="003007EE"/>
    <w:rsid w:val="003029BF"/>
    <w:rsid w:val="00314B41"/>
    <w:rsid w:val="0031557F"/>
    <w:rsid w:val="003172A8"/>
    <w:rsid w:val="00326164"/>
    <w:rsid w:val="00333798"/>
    <w:rsid w:val="003403AF"/>
    <w:rsid w:val="003558AF"/>
    <w:rsid w:val="00357B06"/>
    <w:rsid w:val="00373E6A"/>
    <w:rsid w:val="003A1337"/>
    <w:rsid w:val="003A19B9"/>
    <w:rsid w:val="003A594F"/>
    <w:rsid w:val="003A688C"/>
    <w:rsid w:val="003B05DD"/>
    <w:rsid w:val="003B11CD"/>
    <w:rsid w:val="003B7D7C"/>
    <w:rsid w:val="003C7AA0"/>
    <w:rsid w:val="003E71FD"/>
    <w:rsid w:val="00434068"/>
    <w:rsid w:val="004346DE"/>
    <w:rsid w:val="004541C6"/>
    <w:rsid w:val="004661A9"/>
    <w:rsid w:val="0047528F"/>
    <w:rsid w:val="00475B1F"/>
    <w:rsid w:val="00477359"/>
    <w:rsid w:val="00487B2C"/>
    <w:rsid w:val="004950A0"/>
    <w:rsid w:val="0049637E"/>
    <w:rsid w:val="00496D38"/>
    <w:rsid w:val="004A7E8B"/>
    <w:rsid w:val="004C3262"/>
    <w:rsid w:val="004C6949"/>
    <w:rsid w:val="004D523C"/>
    <w:rsid w:val="004E04AB"/>
    <w:rsid w:val="004E4BC6"/>
    <w:rsid w:val="004E63AB"/>
    <w:rsid w:val="004E77E9"/>
    <w:rsid w:val="004F30F2"/>
    <w:rsid w:val="00504C76"/>
    <w:rsid w:val="00505AEE"/>
    <w:rsid w:val="00512304"/>
    <w:rsid w:val="005235E3"/>
    <w:rsid w:val="005309D8"/>
    <w:rsid w:val="00550C24"/>
    <w:rsid w:val="005565D4"/>
    <w:rsid w:val="00560199"/>
    <w:rsid w:val="005633B2"/>
    <w:rsid w:val="00596000"/>
    <w:rsid w:val="005A03F7"/>
    <w:rsid w:val="005A45DD"/>
    <w:rsid w:val="005C1802"/>
    <w:rsid w:val="005C4C7D"/>
    <w:rsid w:val="005D2FD9"/>
    <w:rsid w:val="005E325A"/>
    <w:rsid w:val="005E462D"/>
    <w:rsid w:val="005E61E3"/>
    <w:rsid w:val="005F7578"/>
    <w:rsid w:val="0060295D"/>
    <w:rsid w:val="00603D19"/>
    <w:rsid w:val="00607269"/>
    <w:rsid w:val="006074AF"/>
    <w:rsid w:val="00611FFD"/>
    <w:rsid w:val="0063418F"/>
    <w:rsid w:val="00640E96"/>
    <w:rsid w:val="00640F85"/>
    <w:rsid w:val="00641A17"/>
    <w:rsid w:val="00642595"/>
    <w:rsid w:val="0064743E"/>
    <w:rsid w:val="0065572B"/>
    <w:rsid w:val="00657D07"/>
    <w:rsid w:val="00662FFA"/>
    <w:rsid w:val="0066338C"/>
    <w:rsid w:val="006648AB"/>
    <w:rsid w:val="00666241"/>
    <w:rsid w:val="00683002"/>
    <w:rsid w:val="006A63B4"/>
    <w:rsid w:val="006D68FE"/>
    <w:rsid w:val="006E2BC3"/>
    <w:rsid w:val="00711737"/>
    <w:rsid w:val="00717736"/>
    <w:rsid w:val="00720C3E"/>
    <w:rsid w:val="0072392A"/>
    <w:rsid w:val="00723CB9"/>
    <w:rsid w:val="00740704"/>
    <w:rsid w:val="0076041C"/>
    <w:rsid w:val="00760F02"/>
    <w:rsid w:val="00760F61"/>
    <w:rsid w:val="00764107"/>
    <w:rsid w:val="00764A54"/>
    <w:rsid w:val="00765E83"/>
    <w:rsid w:val="00774424"/>
    <w:rsid w:val="00777ABD"/>
    <w:rsid w:val="00777CB4"/>
    <w:rsid w:val="0078090A"/>
    <w:rsid w:val="00797425"/>
    <w:rsid w:val="007A1317"/>
    <w:rsid w:val="007A427B"/>
    <w:rsid w:val="007B6680"/>
    <w:rsid w:val="007C35F4"/>
    <w:rsid w:val="007C510D"/>
    <w:rsid w:val="007E1598"/>
    <w:rsid w:val="007E57D1"/>
    <w:rsid w:val="008216F6"/>
    <w:rsid w:val="008420B7"/>
    <w:rsid w:val="00866B86"/>
    <w:rsid w:val="00875961"/>
    <w:rsid w:val="008767E1"/>
    <w:rsid w:val="00877B5D"/>
    <w:rsid w:val="00890448"/>
    <w:rsid w:val="008A09AF"/>
    <w:rsid w:val="008B35CB"/>
    <w:rsid w:val="008C16A5"/>
    <w:rsid w:val="008C3A72"/>
    <w:rsid w:val="008C786E"/>
    <w:rsid w:val="008D0327"/>
    <w:rsid w:val="008D4753"/>
    <w:rsid w:val="008E18DD"/>
    <w:rsid w:val="008E4BEF"/>
    <w:rsid w:val="008E50BC"/>
    <w:rsid w:val="00901B83"/>
    <w:rsid w:val="00905C34"/>
    <w:rsid w:val="009070CB"/>
    <w:rsid w:val="009365FE"/>
    <w:rsid w:val="00945F95"/>
    <w:rsid w:val="00954B8B"/>
    <w:rsid w:val="00962AAB"/>
    <w:rsid w:val="00964187"/>
    <w:rsid w:val="0096647A"/>
    <w:rsid w:val="00967225"/>
    <w:rsid w:val="00981CB1"/>
    <w:rsid w:val="009A335D"/>
    <w:rsid w:val="009A47E8"/>
    <w:rsid w:val="009A4F74"/>
    <w:rsid w:val="009B108C"/>
    <w:rsid w:val="009B3746"/>
    <w:rsid w:val="009C0D84"/>
    <w:rsid w:val="009C5404"/>
    <w:rsid w:val="009C73EE"/>
    <w:rsid w:val="009E10B3"/>
    <w:rsid w:val="009F37E4"/>
    <w:rsid w:val="009F3A4A"/>
    <w:rsid w:val="00A11033"/>
    <w:rsid w:val="00A157DF"/>
    <w:rsid w:val="00A320DF"/>
    <w:rsid w:val="00A47A61"/>
    <w:rsid w:val="00A74B10"/>
    <w:rsid w:val="00A83494"/>
    <w:rsid w:val="00A920A8"/>
    <w:rsid w:val="00AA7499"/>
    <w:rsid w:val="00AC3F28"/>
    <w:rsid w:val="00AD6CA0"/>
    <w:rsid w:val="00B0366D"/>
    <w:rsid w:val="00B045AF"/>
    <w:rsid w:val="00B04694"/>
    <w:rsid w:val="00B135CD"/>
    <w:rsid w:val="00B47A0D"/>
    <w:rsid w:val="00B52F29"/>
    <w:rsid w:val="00B536BD"/>
    <w:rsid w:val="00B54934"/>
    <w:rsid w:val="00B57D42"/>
    <w:rsid w:val="00B71C2E"/>
    <w:rsid w:val="00B71FA5"/>
    <w:rsid w:val="00B76B3A"/>
    <w:rsid w:val="00B95AF0"/>
    <w:rsid w:val="00BA2294"/>
    <w:rsid w:val="00BA59AB"/>
    <w:rsid w:val="00BB5457"/>
    <w:rsid w:val="00BC3A9E"/>
    <w:rsid w:val="00BC7DAA"/>
    <w:rsid w:val="00BD6174"/>
    <w:rsid w:val="00BE183A"/>
    <w:rsid w:val="00BE4AA4"/>
    <w:rsid w:val="00BF132E"/>
    <w:rsid w:val="00BF25FC"/>
    <w:rsid w:val="00BF3DB8"/>
    <w:rsid w:val="00C01440"/>
    <w:rsid w:val="00C2326B"/>
    <w:rsid w:val="00C25737"/>
    <w:rsid w:val="00C26662"/>
    <w:rsid w:val="00C4181E"/>
    <w:rsid w:val="00C55A0C"/>
    <w:rsid w:val="00C608EF"/>
    <w:rsid w:val="00C644FF"/>
    <w:rsid w:val="00C70770"/>
    <w:rsid w:val="00C74B34"/>
    <w:rsid w:val="00C9481B"/>
    <w:rsid w:val="00CA0344"/>
    <w:rsid w:val="00CB06A6"/>
    <w:rsid w:val="00CB5E46"/>
    <w:rsid w:val="00CC03F0"/>
    <w:rsid w:val="00CC0A46"/>
    <w:rsid w:val="00CD5B33"/>
    <w:rsid w:val="00CE24B2"/>
    <w:rsid w:val="00D17FFE"/>
    <w:rsid w:val="00D30396"/>
    <w:rsid w:val="00D352CB"/>
    <w:rsid w:val="00D408E8"/>
    <w:rsid w:val="00D50092"/>
    <w:rsid w:val="00D55F1B"/>
    <w:rsid w:val="00D8247F"/>
    <w:rsid w:val="00D95688"/>
    <w:rsid w:val="00DA1D79"/>
    <w:rsid w:val="00DB1CC8"/>
    <w:rsid w:val="00DC017A"/>
    <w:rsid w:val="00DC0E53"/>
    <w:rsid w:val="00DD5670"/>
    <w:rsid w:val="00DD5B34"/>
    <w:rsid w:val="00E10D4A"/>
    <w:rsid w:val="00E11053"/>
    <w:rsid w:val="00E233D7"/>
    <w:rsid w:val="00E26353"/>
    <w:rsid w:val="00E462EE"/>
    <w:rsid w:val="00E548BA"/>
    <w:rsid w:val="00E55BBA"/>
    <w:rsid w:val="00E5682C"/>
    <w:rsid w:val="00E65B1A"/>
    <w:rsid w:val="00E66AA3"/>
    <w:rsid w:val="00E80E73"/>
    <w:rsid w:val="00E859CA"/>
    <w:rsid w:val="00E86F99"/>
    <w:rsid w:val="00E9473C"/>
    <w:rsid w:val="00E95EC4"/>
    <w:rsid w:val="00EA3E10"/>
    <w:rsid w:val="00EA5562"/>
    <w:rsid w:val="00EC1637"/>
    <w:rsid w:val="00EC654E"/>
    <w:rsid w:val="00ED2FF3"/>
    <w:rsid w:val="00EE4A04"/>
    <w:rsid w:val="00EF0A41"/>
    <w:rsid w:val="00EF10BD"/>
    <w:rsid w:val="00EF1C19"/>
    <w:rsid w:val="00F27468"/>
    <w:rsid w:val="00F3028E"/>
    <w:rsid w:val="00F321E8"/>
    <w:rsid w:val="00F336F2"/>
    <w:rsid w:val="00F45814"/>
    <w:rsid w:val="00F841B5"/>
    <w:rsid w:val="00F87A8D"/>
    <w:rsid w:val="00FA761B"/>
    <w:rsid w:val="00FB044C"/>
    <w:rsid w:val="00FE7B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422D"/>
  <w15:chartTrackingRefBased/>
  <w15:docId w15:val="{49A2EEDC-510B-455D-8F85-B80D96A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61A9"/>
    <w:pPr>
      <w:spacing w:after="0" w:line="240" w:lineRule="auto"/>
    </w:pPr>
    <w:rPr>
      <w:rFonts w:ascii="Calibri" w:hAnsi="Calibri" w:cs="Calibri"/>
      <w:lang w:eastAsia="it-IT"/>
    </w:rPr>
  </w:style>
  <w:style w:type="paragraph" w:styleId="Titolo1">
    <w:name w:val="heading 1"/>
    <w:basedOn w:val="Normale"/>
    <w:next w:val="Normale"/>
    <w:link w:val="Titolo1Carattere"/>
    <w:uiPriority w:val="9"/>
    <w:qFormat/>
    <w:rsid w:val="00B71C2E"/>
    <w:pPr>
      <w:keepNext/>
      <w:keepLines/>
      <w:spacing w:before="240" w:line="256" w:lineRule="auto"/>
      <w:outlineLvl w:val="0"/>
    </w:pPr>
    <w:rPr>
      <w:rFonts w:asciiTheme="majorHAnsi" w:eastAsiaTheme="majorEastAsia" w:hAnsiTheme="majorHAnsi" w:cstheme="majorBidi"/>
      <w:color w:val="2F5496" w:themeColor="accent1" w:themeShade="BF"/>
      <w:sz w:val="32"/>
      <w:szCs w:val="32"/>
      <w:lang w:eastAsia="en-US"/>
    </w:rPr>
  </w:style>
  <w:style w:type="paragraph" w:styleId="Titolo2">
    <w:name w:val="heading 2"/>
    <w:basedOn w:val="Normale"/>
    <w:next w:val="Normale"/>
    <w:link w:val="Titolo2Carattere"/>
    <w:uiPriority w:val="9"/>
    <w:semiHidden/>
    <w:unhideWhenUsed/>
    <w:qFormat/>
    <w:rsid w:val="008C3A72"/>
    <w:pPr>
      <w:keepNext/>
      <w:keepLines/>
      <w:spacing w:before="40" w:line="256"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001A2"/>
    <w:pPr>
      <w:ind w:left="720"/>
      <w:contextualSpacing/>
    </w:pPr>
  </w:style>
  <w:style w:type="paragraph" w:styleId="Intestazione">
    <w:name w:val="header"/>
    <w:basedOn w:val="Normale"/>
    <w:link w:val="IntestazioneCarattere"/>
    <w:uiPriority w:val="99"/>
    <w:unhideWhenUsed/>
    <w:rsid w:val="004C3262"/>
    <w:pPr>
      <w:tabs>
        <w:tab w:val="center" w:pos="4819"/>
        <w:tab w:val="right" w:pos="9638"/>
      </w:tabs>
    </w:pPr>
  </w:style>
  <w:style w:type="character" w:customStyle="1" w:styleId="IntestazioneCarattere">
    <w:name w:val="Intestazione Carattere"/>
    <w:basedOn w:val="Carpredefinitoparagrafo"/>
    <w:link w:val="Intestazione"/>
    <w:uiPriority w:val="99"/>
    <w:rsid w:val="004C3262"/>
    <w:rPr>
      <w:rFonts w:ascii="Calibri" w:hAnsi="Calibri" w:cs="Calibri"/>
      <w:lang w:eastAsia="it-IT"/>
    </w:rPr>
  </w:style>
  <w:style w:type="paragraph" w:styleId="Pidipagina">
    <w:name w:val="footer"/>
    <w:basedOn w:val="Normale"/>
    <w:link w:val="PidipaginaCarattere"/>
    <w:uiPriority w:val="99"/>
    <w:unhideWhenUsed/>
    <w:rsid w:val="004C3262"/>
    <w:pPr>
      <w:tabs>
        <w:tab w:val="center" w:pos="4819"/>
        <w:tab w:val="right" w:pos="9638"/>
      </w:tabs>
    </w:pPr>
  </w:style>
  <w:style w:type="character" w:customStyle="1" w:styleId="PidipaginaCarattere">
    <w:name w:val="Piè di pagina Carattere"/>
    <w:basedOn w:val="Carpredefinitoparagrafo"/>
    <w:link w:val="Pidipagina"/>
    <w:uiPriority w:val="99"/>
    <w:rsid w:val="004C3262"/>
    <w:rPr>
      <w:rFonts w:ascii="Calibri" w:hAnsi="Calibri" w:cs="Calibri"/>
      <w:lang w:eastAsia="it-IT"/>
    </w:rPr>
  </w:style>
  <w:style w:type="character" w:styleId="Collegamentoipertestuale">
    <w:name w:val="Hyperlink"/>
    <w:basedOn w:val="Carpredefinitoparagrafo"/>
    <w:uiPriority w:val="99"/>
    <w:semiHidden/>
    <w:unhideWhenUsed/>
    <w:rsid w:val="002F4484"/>
    <w:rPr>
      <w:color w:val="0000FF"/>
      <w:u w:val="single"/>
    </w:rPr>
  </w:style>
  <w:style w:type="paragraph" w:customStyle="1" w:styleId="xmsonormal">
    <w:name w:val="x_msonormal"/>
    <w:basedOn w:val="Normale"/>
    <w:rsid w:val="00C70770"/>
  </w:style>
  <w:style w:type="paragraph" w:customStyle="1" w:styleId="xmsolistparagraph">
    <w:name w:val="x_msolistparagraph"/>
    <w:basedOn w:val="Normale"/>
    <w:rsid w:val="00C70770"/>
    <w:pPr>
      <w:ind w:left="720"/>
    </w:pPr>
  </w:style>
  <w:style w:type="character" w:customStyle="1" w:styleId="Titolo2Carattere">
    <w:name w:val="Titolo 2 Carattere"/>
    <w:basedOn w:val="Carpredefinitoparagrafo"/>
    <w:link w:val="Titolo2"/>
    <w:uiPriority w:val="9"/>
    <w:semiHidden/>
    <w:rsid w:val="008C3A72"/>
    <w:rPr>
      <w:rFonts w:asciiTheme="majorHAnsi" w:eastAsiaTheme="majorEastAsia" w:hAnsiTheme="majorHAnsi" w:cstheme="majorBidi"/>
      <w:color w:val="2F5496" w:themeColor="accent1" w:themeShade="BF"/>
      <w:sz w:val="26"/>
      <w:szCs w:val="26"/>
    </w:rPr>
  </w:style>
  <w:style w:type="character" w:customStyle="1" w:styleId="Titolo1Carattere">
    <w:name w:val="Titolo 1 Carattere"/>
    <w:basedOn w:val="Carpredefinitoparagrafo"/>
    <w:link w:val="Titolo1"/>
    <w:uiPriority w:val="9"/>
    <w:rsid w:val="00B71C2E"/>
    <w:rPr>
      <w:rFonts w:asciiTheme="majorHAnsi" w:eastAsiaTheme="majorEastAsia" w:hAnsiTheme="majorHAnsi" w:cstheme="majorBidi"/>
      <w:color w:val="2F5496" w:themeColor="accent1" w:themeShade="BF"/>
      <w:sz w:val="32"/>
      <w:szCs w:val="32"/>
    </w:rPr>
  </w:style>
  <w:style w:type="paragraph" w:customStyle="1" w:styleId="Default">
    <w:name w:val="Default"/>
    <w:rsid w:val="00D30396"/>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semiHidden/>
    <w:unhideWhenUsed/>
    <w:rsid w:val="00B4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5840">
      <w:bodyDiv w:val="1"/>
      <w:marLeft w:val="0"/>
      <w:marRight w:val="0"/>
      <w:marTop w:val="0"/>
      <w:marBottom w:val="0"/>
      <w:divBdr>
        <w:top w:val="none" w:sz="0" w:space="0" w:color="auto"/>
        <w:left w:val="none" w:sz="0" w:space="0" w:color="auto"/>
        <w:bottom w:val="none" w:sz="0" w:space="0" w:color="auto"/>
        <w:right w:val="none" w:sz="0" w:space="0" w:color="auto"/>
      </w:divBdr>
    </w:div>
    <w:div w:id="318115655">
      <w:bodyDiv w:val="1"/>
      <w:marLeft w:val="0"/>
      <w:marRight w:val="0"/>
      <w:marTop w:val="0"/>
      <w:marBottom w:val="0"/>
      <w:divBdr>
        <w:top w:val="none" w:sz="0" w:space="0" w:color="auto"/>
        <w:left w:val="none" w:sz="0" w:space="0" w:color="auto"/>
        <w:bottom w:val="none" w:sz="0" w:space="0" w:color="auto"/>
        <w:right w:val="none" w:sz="0" w:space="0" w:color="auto"/>
      </w:divBdr>
    </w:div>
    <w:div w:id="380441996">
      <w:bodyDiv w:val="1"/>
      <w:marLeft w:val="0"/>
      <w:marRight w:val="0"/>
      <w:marTop w:val="0"/>
      <w:marBottom w:val="0"/>
      <w:divBdr>
        <w:top w:val="none" w:sz="0" w:space="0" w:color="auto"/>
        <w:left w:val="none" w:sz="0" w:space="0" w:color="auto"/>
        <w:bottom w:val="none" w:sz="0" w:space="0" w:color="auto"/>
        <w:right w:val="none" w:sz="0" w:space="0" w:color="auto"/>
      </w:divBdr>
    </w:div>
    <w:div w:id="450369778">
      <w:bodyDiv w:val="1"/>
      <w:marLeft w:val="0"/>
      <w:marRight w:val="0"/>
      <w:marTop w:val="0"/>
      <w:marBottom w:val="0"/>
      <w:divBdr>
        <w:top w:val="none" w:sz="0" w:space="0" w:color="auto"/>
        <w:left w:val="none" w:sz="0" w:space="0" w:color="auto"/>
        <w:bottom w:val="none" w:sz="0" w:space="0" w:color="auto"/>
        <w:right w:val="none" w:sz="0" w:space="0" w:color="auto"/>
      </w:divBdr>
    </w:div>
    <w:div w:id="646473984">
      <w:bodyDiv w:val="1"/>
      <w:marLeft w:val="0"/>
      <w:marRight w:val="0"/>
      <w:marTop w:val="0"/>
      <w:marBottom w:val="0"/>
      <w:divBdr>
        <w:top w:val="none" w:sz="0" w:space="0" w:color="auto"/>
        <w:left w:val="none" w:sz="0" w:space="0" w:color="auto"/>
        <w:bottom w:val="none" w:sz="0" w:space="0" w:color="auto"/>
        <w:right w:val="none" w:sz="0" w:space="0" w:color="auto"/>
      </w:divBdr>
    </w:div>
    <w:div w:id="707681741">
      <w:bodyDiv w:val="1"/>
      <w:marLeft w:val="0"/>
      <w:marRight w:val="0"/>
      <w:marTop w:val="0"/>
      <w:marBottom w:val="0"/>
      <w:divBdr>
        <w:top w:val="none" w:sz="0" w:space="0" w:color="auto"/>
        <w:left w:val="none" w:sz="0" w:space="0" w:color="auto"/>
        <w:bottom w:val="none" w:sz="0" w:space="0" w:color="auto"/>
        <w:right w:val="none" w:sz="0" w:space="0" w:color="auto"/>
      </w:divBdr>
    </w:div>
    <w:div w:id="724766470">
      <w:bodyDiv w:val="1"/>
      <w:marLeft w:val="0"/>
      <w:marRight w:val="0"/>
      <w:marTop w:val="0"/>
      <w:marBottom w:val="0"/>
      <w:divBdr>
        <w:top w:val="none" w:sz="0" w:space="0" w:color="auto"/>
        <w:left w:val="none" w:sz="0" w:space="0" w:color="auto"/>
        <w:bottom w:val="none" w:sz="0" w:space="0" w:color="auto"/>
        <w:right w:val="none" w:sz="0" w:space="0" w:color="auto"/>
      </w:divBdr>
    </w:div>
    <w:div w:id="746684364">
      <w:bodyDiv w:val="1"/>
      <w:marLeft w:val="0"/>
      <w:marRight w:val="0"/>
      <w:marTop w:val="0"/>
      <w:marBottom w:val="0"/>
      <w:divBdr>
        <w:top w:val="none" w:sz="0" w:space="0" w:color="auto"/>
        <w:left w:val="none" w:sz="0" w:space="0" w:color="auto"/>
        <w:bottom w:val="none" w:sz="0" w:space="0" w:color="auto"/>
        <w:right w:val="none" w:sz="0" w:space="0" w:color="auto"/>
      </w:divBdr>
    </w:div>
    <w:div w:id="788165321">
      <w:bodyDiv w:val="1"/>
      <w:marLeft w:val="0"/>
      <w:marRight w:val="0"/>
      <w:marTop w:val="0"/>
      <w:marBottom w:val="0"/>
      <w:divBdr>
        <w:top w:val="none" w:sz="0" w:space="0" w:color="auto"/>
        <w:left w:val="none" w:sz="0" w:space="0" w:color="auto"/>
        <w:bottom w:val="none" w:sz="0" w:space="0" w:color="auto"/>
        <w:right w:val="none" w:sz="0" w:space="0" w:color="auto"/>
      </w:divBdr>
    </w:div>
    <w:div w:id="955940098">
      <w:bodyDiv w:val="1"/>
      <w:marLeft w:val="0"/>
      <w:marRight w:val="0"/>
      <w:marTop w:val="0"/>
      <w:marBottom w:val="0"/>
      <w:divBdr>
        <w:top w:val="none" w:sz="0" w:space="0" w:color="auto"/>
        <w:left w:val="none" w:sz="0" w:space="0" w:color="auto"/>
        <w:bottom w:val="none" w:sz="0" w:space="0" w:color="auto"/>
        <w:right w:val="none" w:sz="0" w:space="0" w:color="auto"/>
      </w:divBdr>
    </w:div>
    <w:div w:id="983005550">
      <w:bodyDiv w:val="1"/>
      <w:marLeft w:val="0"/>
      <w:marRight w:val="0"/>
      <w:marTop w:val="0"/>
      <w:marBottom w:val="0"/>
      <w:divBdr>
        <w:top w:val="none" w:sz="0" w:space="0" w:color="auto"/>
        <w:left w:val="none" w:sz="0" w:space="0" w:color="auto"/>
        <w:bottom w:val="none" w:sz="0" w:space="0" w:color="auto"/>
        <w:right w:val="none" w:sz="0" w:space="0" w:color="auto"/>
      </w:divBdr>
    </w:div>
    <w:div w:id="1029455587">
      <w:bodyDiv w:val="1"/>
      <w:marLeft w:val="0"/>
      <w:marRight w:val="0"/>
      <w:marTop w:val="0"/>
      <w:marBottom w:val="0"/>
      <w:divBdr>
        <w:top w:val="none" w:sz="0" w:space="0" w:color="auto"/>
        <w:left w:val="none" w:sz="0" w:space="0" w:color="auto"/>
        <w:bottom w:val="none" w:sz="0" w:space="0" w:color="auto"/>
        <w:right w:val="none" w:sz="0" w:space="0" w:color="auto"/>
      </w:divBdr>
    </w:div>
    <w:div w:id="1052659875">
      <w:bodyDiv w:val="1"/>
      <w:marLeft w:val="0"/>
      <w:marRight w:val="0"/>
      <w:marTop w:val="0"/>
      <w:marBottom w:val="0"/>
      <w:divBdr>
        <w:top w:val="none" w:sz="0" w:space="0" w:color="auto"/>
        <w:left w:val="none" w:sz="0" w:space="0" w:color="auto"/>
        <w:bottom w:val="none" w:sz="0" w:space="0" w:color="auto"/>
        <w:right w:val="none" w:sz="0" w:space="0" w:color="auto"/>
      </w:divBdr>
    </w:div>
    <w:div w:id="1164665064">
      <w:bodyDiv w:val="1"/>
      <w:marLeft w:val="0"/>
      <w:marRight w:val="0"/>
      <w:marTop w:val="0"/>
      <w:marBottom w:val="0"/>
      <w:divBdr>
        <w:top w:val="none" w:sz="0" w:space="0" w:color="auto"/>
        <w:left w:val="none" w:sz="0" w:space="0" w:color="auto"/>
        <w:bottom w:val="none" w:sz="0" w:space="0" w:color="auto"/>
        <w:right w:val="none" w:sz="0" w:space="0" w:color="auto"/>
      </w:divBdr>
    </w:div>
    <w:div w:id="1229003255">
      <w:bodyDiv w:val="1"/>
      <w:marLeft w:val="0"/>
      <w:marRight w:val="0"/>
      <w:marTop w:val="0"/>
      <w:marBottom w:val="0"/>
      <w:divBdr>
        <w:top w:val="none" w:sz="0" w:space="0" w:color="auto"/>
        <w:left w:val="none" w:sz="0" w:space="0" w:color="auto"/>
        <w:bottom w:val="none" w:sz="0" w:space="0" w:color="auto"/>
        <w:right w:val="none" w:sz="0" w:space="0" w:color="auto"/>
      </w:divBdr>
    </w:div>
    <w:div w:id="1712605630">
      <w:bodyDiv w:val="1"/>
      <w:marLeft w:val="0"/>
      <w:marRight w:val="0"/>
      <w:marTop w:val="0"/>
      <w:marBottom w:val="0"/>
      <w:divBdr>
        <w:top w:val="none" w:sz="0" w:space="0" w:color="auto"/>
        <w:left w:val="none" w:sz="0" w:space="0" w:color="auto"/>
        <w:bottom w:val="none" w:sz="0" w:space="0" w:color="auto"/>
        <w:right w:val="none" w:sz="0" w:space="0" w:color="auto"/>
      </w:divBdr>
    </w:div>
    <w:div w:id="1824352717">
      <w:bodyDiv w:val="1"/>
      <w:marLeft w:val="0"/>
      <w:marRight w:val="0"/>
      <w:marTop w:val="0"/>
      <w:marBottom w:val="0"/>
      <w:divBdr>
        <w:top w:val="none" w:sz="0" w:space="0" w:color="auto"/>
        <w:left w:val="none" w:sz="0" w:space="0" w:color="auto"/>
        <w:bottom w:val="none" w:sz="0" w:space="0" w:color="auto"/>
        <w:right w:val="none" w:sz="0" w:space="0" w:color="auto"/>
      </w:divBdr>
    </w:div>
    <w:div w:id="1828210197">
      <w:bodyDiv w:val="1"/>
      <w:marLeft w:val="0"/>
      <w:marRight w:val="0"/>
      <w:marTop w:val="0"/>
      <w:marBottom w:val="0"/>
      <w:divBdr>
        <w:top w:val="none" w:sz="0" w:space="0" w:color="auto"/>
        <w:left w:val="none" w:sz="0" w:space="0" w:color="auto"/>
        <w:bottom w:val="none" w:sz="0" w:space="0" w:color="auto"/>
        <w:right w:val="none" w:sz="0" w:space="0" w:color="auto"/>
      </w:divBdr>
    </w:div>
    <w:div w:id="1838568414">
      <w:bodyDiv w:val="1"/>
      <w:marLeft w:val="0"/>
      <w:marRight w:val="0"/>
      <w:marTop w:val="0"/>
      <w:marBottom w:val="0"/>
      <w:divBdr>
        <w:top w:val="none" w:sz="0" w:space="0" w:color="auto"/>
        <w:left w:val="none" w:sz="0" w:space="0" w:color="auto"/>
        <w:bottom w:val="none" w:sz="0" w:space="0" w:color="auto"/>
        <w:right w:val="none" w:sz="0" w:space="0" w:color="auto"/>
      </w:divBdr>
    </w:div>
    <w:div w:id="1861698149">
      <w:bodyDiv w:val="1"/>
      <w:marLeft w:val="0"/>
      <w:marRight w:val="0"/>
      <w:marTop w:val="0"/>
      <w:marBottom w:val="0"/>
      <w:divBdr>
        <w:top w:val="none" w:sz="0" w:space="0" w:color="auto"/>
        <w:left w:val="none" w:sz="0" w:space="0" w:color="auto"/>
        <w:bottom w:val="none" w:sz="0" w:space="0" w:color="auto"/>
        <w:right w:val="none" w:sz="0" w:space="0" w:color="auto"/>
      </w:divBdr>
    </w:div>
    <w:div w:id="20750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3269</Words>
  <Characters>18636</Characters>
  <Application>Microsoft Office Word</Application>
  <DocSecurity>4</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Mariella Sorrenti</dc:creator>
  <cp:keywords/>
  <dc:description/>
  <cp:lastModifiedBy>Mariella Sorrenti</cp:lastModifiedBy>
  <cp:revision>2</cp:revision>
  <dcterms:created xsi:type="dcterms:W3CDTF">2022-05-20T16:54:00Z</dcterms:created>
  <dcterms:modified xsi:type="dcterms:W3CDTF">2022-05-20T16:54:00Z</dcterms:modified>
</cp:coreProperties>
</file>