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1C225" w14:textId="77777777" w:rsidR="0074456E" w:rsidRPr="00EC2721" w:rsidRDefault="0074456E" w:rsidP="00F37E61">
      <w:pPr>
        <w:pStyle w:val="Titolo2"/>
        <w:spacing w:before="0" w:after="0"/>
        <w:rPr>
          <w:rFonts w:ascii="Bookman Old Style" w:hAnsi="Bookman Old Style" w:cs="Times New Roman"/>
          <w:szCs w:val="22"/>
        </w:rPr>
      </w:pPr>
      <w:bookmarkStart w:id="0" w:name="_Toc102404173"/>
    </w:p>
    <w:p w14:paraId="3918B211" w14:textId="3FF523B1" w:rsidR="0074456E" w:rsidRPr="00EC2721" w:rsidRDefault="0074456E" w:rsidP="0074456E">
      <w:pPr>
        <w:jc w:val="center"/>
        <w:rPr>
          <w:rFonts w:ascii="Bookman Old Style" w:hAnsi="Bookman Old Style"/>
          <w:b/>
        </w:rPr>
      </w:pPr>
      <w:r w:rsidRPr="00EC2721">
        <w:rPr>
          <w:rFonts w:ascii="Bookman Old Style" w:hAnsi="Bookman Old Style"/>
          <w:noProof/>
          <w:lang w:eastAsia="it-IT"/>
        </w:rPr>
        <w:drawing>
          <wp:inline distT="0" distB="0" distL="0" distR="0" wp14:anchorId="2DEB5B42" wp14:editId="74E9948F">
            <wp:extent cx="619125" cy="923925"/>
            <wp:effectExtent l="0" t="0" r="9525" b="9525"/>
            <wp:docPr id="1" name="Immagine 1"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descr="Immagine che contiene disegnand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923925"/>
                    </a:xfrm>
                    <a:prstGeom prst="rect">
                      <a:avLst/>
                    </a:prstGeom>
                    <a:noFill/>
                    <a:ln>
                      <a:noFill/>
                    </a:ln>
                  </pic:spPr>
                </pic:pic>
              </a:graphicData>
            </a:graphic>
          </wp:inline>
        </w:drawing>
      </w:r>
    </w:p>
    <w:p w14:paraId="03740DC5" w14:textId="77777777" w:rsidR="0074456E" w:rsidRPr="00EC2721" w:rsidRDefault="0074456E" w:rsidP="0074456E">
      <w:pPr>
        <w:jc w:val="center"/>
        <w:rPr>
          <w:rFonts w:ascii="Bookman Old Style" w:hAnsi="Bookman Old Style"/>
          <w:b/>
        </w:rPr>
      </w:pPr>
    </w:p>
    <w:p w14:paraId="1640FF02" w14:textId="77777777" w:rsidR="0074456E" w:rsidRPr="0071326B" w:rsidRDefault="0074456E" w:rsidP="00530C83">
      <w:pPr>
        <w:spacing w:line="252" w:lineRule="auto"/>
        <w:contextualSpacing/>
        <w:jc w:val="center"/>
        <w:rPr>
          <w:rFonts w:ascii="Bookman Old Style" w:hAnsi="Bookman Old Style"/>
          <w:b/>
          <w:color w:val="002060"/>
        </w:rPr>
      </w:pPr>
    </w:p>
    <w:p w14:paraId="5683AB4B" w14:textId="5C0964EB" w:rsidR="0074456E" w:rsidRPr="004567DD" w:rsidRDefault="0074456E" w:rsidP="00530C83">
      <w:pPr>
        <w:spacing w:line="252" w:lineRule="auto"/>
        <w:contextualSpacing/>
        <w:jc w:val="center"/>
        <w:rPr>
          <w:rFonts w:ascii="Bookman Old Style" w:hAnsi="Bookman Old Style"/>
          <w:b/>
          <w:bCs/>
          <w:color w:val="002060"/>
          <w:sz w:val="24"/>
          <w:szCs w:val="24"/>
        </w:rPr>
      </w:pPr>
      <w:r w:rsidRPr="004567DD">
        <w:rPr>
          <w:rFonts w:ascii="Bookman Old Style" w:hAnsi="Bookman Old Style"/>
          <w:b/>
          <w:bCs/>
          <w:color w:val="002060"/>
          <w:sz w:val="24"/>
          <w:szCs w:val="24"/>
        </w:rPr>
        <w:t xml:space="preserve">Decreto-legge </w:t>
      </w:r>
      <w:r w:rsidR="008C3632" w:rsidRPr="004567DD">
        <w:rPr>
          <w:rFonts w:ascii="Bookman Old Style" w:hAnsi="Bookman Old Style"/>
          <w:b/>
          <w:bCs/>
          <w:color w:val="002060"/>
          <w:sz w:val="24"/>
          <w:szCs w:val="24"/>
        </w:rPr>
        <w:t>17 maggio 2022, n. 50</w:t>
      </w:r>
      <w:r w:rsidR="00B82149" w:rsidRPr="004567DD">
        <w:rPr>
          <w:rFonts w:ascii="Bookman Old Style" w:hAnsi="Bookman Old Style"/>
          <w:b/>
          <w:bCs/>
          <w:color w:val="002060"/>
          <w:sz w:val="24"/>
          <w:szCs w:val="24"/>
        </w:rPr>
        <w:t xml:space="preserve">, </w:t>
      </w:r>
      <w:r w:rsidRPr="004567DD">
        <w:rPr>
          <w:rFonts w:ascii="Bookman Old Style" w:hAnsi="Bookman Old Style"/>
          <w:b/>
          <w:bCs/>
          <w:color w:val="002060"/>
          <w:sz w:val="24"/>
          <w:szCs w:val="24"/>
        </w:rPr>
        <w:t xml:space="preserve">recante “Misure urgenti in materia di politiche energetiche nazionali, produttività delle imprese e attrazione degli investimenti, nonché in materia di politiche sociali e di crisi Ucraina” </w:t>
      </w:r>
      <w:r w:rsidR="00CD6F42" w:rsidRPr="004567DD">
        <w:rPr>
          <w:rFonts w:ascii="Bookman Old Style" w:hAnsi="Bookman Old Style"/>
          <w:b/>
          <w:bCs/>
          <w:color w:val="002060"/>
          <w:sz w:val="24"/>
          <w:szCs w:val="24"/>
        </w:rPr>
        <w:t>–</w:t>
      </w:r>
      <w:r w:rsidRPr="004567DD">
        <w:rPr>
          <w:rFonts w:ascii="Bookman Old Style" w:hAnsi="Bookman Old Style"/>
          <w:b/>
          <w:bCs/>
          <w:color w:val="002060"/>
          <w:sz w:val="24"/>
          <w:szCs w:val="24"/>
        </w:rPr>
        <w:t xml:space="preserve"> </w:t>
      </w:r>
      <w:r w:rsidR="00760EE0" w:rsidRPr="004567DD">
        <w:rPr>
          <w:rFonts w:ascii="Bookman Old Style" w:hAnsi="Bookman Old Style"/>
          <w:b/>
          <w:bCs/>
          <w:color w:val="002060"/>
          <w:sz w:val="24"/>
          <w:szCs w:val="24"/>
        </w:rPr>
        <w:t>cd dl Aiuti</w:t>
      </w:r>
    </w:p>
    <w:p w14:paraId="144F4599" w14:textId="77777777" w:rsidR="0074456E" w:rsidRPr="0071326B" w:rsidRDefault="0074456E" w:rsidP="00530C83">
      <w:pPr>
        <w:spacing w:line="252" w:lineRule="auto"/>
        <w:contextualSpacing/>
        <w:jc w:val="center"/>
        <w:rPr>
          <w:rFonts w:ascii="Bookman Old Style" w:hAnsi="Bookman Old Style"/>
          <w:b/>
          <w:color w:val="002060"/>
        </w:rPr>
      </w:pPr>
    </w:p>
    <w:p w14:paraId="402DC0E5" w14:textId="77777777" w:rsidR="0074456E" w:rsidRPr="00EC2721" w:rsidRDefault="0074456E" w:rsidP="0074456E">
      <w:pPr>
        <w:spacing w:line="252" w:lineRule="auto"/>
        <w:contextualSpacing/>
        <w:jc w:val="center"/>
        <w:rPr>
          <w:rFonts w:ascii="Bookman Old Style" w:hAnsi="Bookman Old Style"/>
          <w:b/>
          <w:bCs/>
          <w:color w:val="002060"/>
        </w:rPr>
      </w:pPr>
    </w:p>
    <w:p w14:paraId="364DE184" w14:textId="46C553F2" w:rsidR="0074456E" w:rsidRPr="00EC2721" w:rsidRDefault="0074456E" w:rsidP="0074456E">
      <w:pPr>
        <w:spacing w:line="252" w:lineRule="auto"/>
        <w:contextualSpacing/>
        <w:jc w:val="center"/>
        <w:rPr>
          <w:rFonts w:ascii="Bookman Old Style" w:hAnsi="Bookman Old Style"/>
          <w:b/>
          <w:bCs/>
          <w:color w:val="002060"/>
        </w:rPr>
      </w:pPr>
      <w:r w:rsidRPr="00EC2721">
        <w:rPr>
          <w:rFonts w:ascii="Bookman Old Style" w:hAnsi="Bookman Old Style"/>
          <w:b/>
          <w:bCs/>
          <w:color w:val="002060"/>
        </w:rPr>
        <w:t xml:space="preserve">NOTA </w:t>
      </w:r>
      <w:r w:rsidR="00FC65F9" w:rsidRPr="00EC2721">
        <w:rPr>
          <w:rFonts w:ascii="Bookman Old Style" w:hAnsi="Bookman Old Style"/>
          <w:b/>
          <w:bCs/>
          <w:color w:val="002060"/>
        </w:rPr>
        <w:t>DI LETTURA</w:t>
      </w:r>
      <w:r w:rsidRPr="00EC2721">
        <w:rPr>
          <w:rFonts w:ascii="Bookman Old Style" w:hAnsi="Bookman Old Style"/>
          <w:b/>
          <w:bCs/>
          <w:color w:val="002060"/>
        </w:rPr>
        <w:t xml:space="preserve">  </w:t>
      </w:r>
    </w:p>
    <w:p w14:paraId="4D90760A" w14:textId="77777777" w:rsidR="0074456E" w:rsidRPr="00EC2721" w:rsidRDefault="0074456E" w:rsidP="0074456E">
      <w:pPr>
        <w:spacing w:line="252" w:lineRule="auto"/>
        <w:contextualSpacing/>
        <w:jc w:val="center"/>
        <w:rPr>
          <w:rFonts w:ascii="Bookman Old Style" w:hAnsi="Bookman Old Style"/>
          <w:b/>
          <w:bCs/>
          <w:color w:val="002060"/>
        </w:rPr>
      </w:pPr>
    </w:p>
    <w:p w14:paraId="3A0D4901" w14:textId="77777777" w:rsidR="0074456E" w:rsidRPr="00EC2721" w:rsidRDefault="0074456E" w:rsidP="0074456E">
      <w:pPr>
        <w:spacing w:line="252" w:lineRule="auto"/>
        <w:contextualSpacing/>
        <w:jc w:val="center"/>
        <w:rPr>
          <w:rFonts w:ascii="Bookman Old Style" w:hAnsi="Bookman Old Style"/>
          <w:b/>
          <w:bCs/>
          <w:color w:val="002060"/>
        </w:rPr>
      </w:pPr>
    </w:p>
    <w:p w14:paraId="2AB6905E" w14:textId="77777777" w:rsidR="0074456E" w:rsidRPr="00EC2721" w:rsidRDefault="0074456E" w:rsidP="0074456E">
      <w:pPr>
        <w:spacing w:line="252" w:lineRule="auto"/>
        <w:contextualSpacing/>
        <w:rPr>
          <w:rFonts w:ascii="Bookman Old Style" w:hAnsi="Bookman Old Style"/>
          <w:b/>
          <w:bCs/>
          <w:color w:val="002060"/>
        </w:rPr>
      </w:pPr>
      <w:r w:rsidRPr="00EC2721">
        <w:rPr>
          <w:rFonts w:ascii="Bookman Old Style" w:hAnsi="Bookman Old Style"/>
          <w:b/>
          <w:bCs/>
          <w:color w:val="002060"/>
        </w:rPr>
        <w:t>PREMESSA</w:t>
      </w:r>
    </w:p>
    <w:p w14:paraId="38CD3A4B" w14:textId="77777777" w:rsidR="0074456E" w:rsidRPr="00EC2721" w:rsidRDefault="0074456E" w:rsidP="0074456E">
      <w:pPr>
        <w:spacing w:line="252" w:lineRule="auto"/>
        <w:contextualSpacing/>
        <w:rPr>
          <w:rFonts w:ascii="Bookman Old Style" w:hAnsi="Bookman Old Style"/>
          <w:b/>
          <w:bCs/>
          <w:color w:val="002060"/>
        </w:rPr>
      </w:pPr>
    </w:p>
    <w:p w14:paraId="34422869" w14:textId="4500D7D3" w:rsidR="0074456E" w:rsidRDefault="0074456E" w:rsidP="0074456E">
      <w:pPr>
        <w:rPr>
          <w:rFonts w:ascii="Bookman Old Style" w:hAnsi="Bookman Old Style"/>
        </w:rPr>
      </w:pPr>
      <w:r w:rsidRPr="00435F2A">
        <w:rPr>
          <w:rFonts w:ascii="Bookman Old Style" w:hAnsi="Bookman Old Style"/>
        </w:rPr>
        <w:t xml:space="preserve">Il </w:t>
      </w:r>
      <w:proofErr w:type="gramStart"/>
      <w:r w:rsidRPr="00435F2A">
        <w:rPr>
          <w:rFonts w:ascii="Bookman Old Style" w:hAnsi="Bookman Old Style"/>
        </w:rPr>
        <w:t>decreto legge</w:t>
      </w:r>
      <w:proofErr w:type="gramEnd"/>
      <w:r w:rsidRPr="00435F2A">
        <w:rPr>
          <w:rFonts w:ascii="Bookman Old Style" w:hAnsi="Bookman Old Style"/>
        </w:rPr>
        <w:t xml:space="preserve"> </w:t>
      </w:r>
      <w:r w:rsidR="00435F2A" w:rsidRPr="00435F2A">
        <w:rPr>
          <w:rFonts w:ascii="Bookman Old Style" w:hAnsi="Bookman Old Style"/>
        </w:rPr>
        <w:t xml:space="preserve">17 maggio 2022, n. 50 </w:t>
      </w:r>
      <w:r w:rsidRPr="00435F2A">
        <w:rPr>
          <w:rFonts w:ascii="Bookman Old Style" w:hAnsi="Bookman Old Style"/>
        </w:rPr>
        <w:t>recante “</w:t>
      </w:r>
      <w:r w:rsidRPr="00435F2A">
        <w:rPr>
          <w:rFonts w:ascii="Bookman Old Style" w:hAnsi="Bookman Old Style"/>
          <w:i/>
          <w:iCs/>
        </w:rPr>
        <w:t xml:space="preserve">Misure urgenti in materia di politiche energetiche nazionali, produttività delle imprese </w:t>
      </w:r>
      <w:r w:rsidRPr="00EC2721">
        <w:rPr>
          <w:rFonts w:ascii="Bookman Old Style" w:hAnsi="Bookman Old Style"/>
          <w:i/>
          <w:iCs/>
        </w:rPr>
        <w:t>e attrazione degli investimenti, nonché in materia di politiche sociali e di crisi Ucraina</w:t>
      </w:r>
      <w:r w:rsidRPr="00EC2721">
        <w:rPr>
          <w:rFonts w:ascii="Bookman Old Style" w:hAnsi="Bookman Old Style"/>
        </w:rPr>
        <w:t xml:space="preserve">” - cd dl </w:t>
      </w:r>
      <w:r w:rsidR="002A7B6B" w:rsidRPr="00EC2721">
        <w:rPr>
          <w:rFonts w:ascii="Bookman Old Style" w:hAnsi="Bookman Old Style"/>
        </w:rPr>
        <w:t>Aiuti</w:t>
      </w:r>
      <w:r w:rsidR="00C97645" w:rsidRPr="00EC2721">
        <w:rPr>
          <w:rFonts w:ascii="Bookman Old Style" w:hAnsi="Bookman Old Style"/>
        </w:rPr>
        <w:t>-</w:t>
      </w:r>
      <w:r w:rsidRPr="00EC2721">
        <w:rPr>
          <w:rFonts w:ascii="Bookman Old Style" w:hAnsi="Bookman Old Style"/>
        </w:rPr>
        <w:t xml:space="preserve"> è </w:t>
      </w:r>
      <w:r w:rsidR="007B1F04" w:rsidRPr="00300316">
        <w:rPr>
          <w:rFonts w:ascii="Bookman Old Style" w:hAnsi="Bookman Old Style"/>
        </w:rPr>
        <w:t xml:space="preserve">stato pubblicato sulla Gazzetta Ufficiale </w:t>
      </w:r>
      <w:r w:rsidR="00365AB1" w:rsidRPr="00300316">
        <w:rPr>
          <w:rFonts w:ascii="Bookman Old Style" w:hAnsi="Bookman Old Style"/>
        </w:rPr>
        <w:t xml:space="preserve">del 17.5.22 </w:t>
      </w:r>
      <w:r w:rsidR="00CE3AFF" w:rsidRPr="00300316">
        <w:rPr>
          <w:rFonts w:ascii="Bookman Old Style" w:hAnsi="Bookman Old Style"/>
        </w:rPr>
        <w:t>n. 114</w:t>
      </w:r>
      <w:r w:rsidR="00300316" w:rsidRPr="00300316">
        <w:rPr>
          <w:rFonts w:ascii="Bookman Old Style" w:hAnsi="Bookman Old Style"/>
        </w:rPr>
        <w:t xml:space="preserve"> ed è entrato in vigore il 18 maggio 2022</w:t>
      </w:r>
      <w:r w:rsidR="00CE3AFF" w:rsidRPr="00300316">
        <w:rPr>
          <w:rFonts w:ascii="Bookman Old Style" w:hAnsi="Bookman Old Style"/>
        </w:rPr>
        <w:t>.</w:t>
      </w:r>
    </w:p>
    <w:p w14:paraId="4C649AC3" w14:textId="1827042B" w:rsidR="00B30300" w:rsidRDefault="00B30300" w:rsidP="0074456E">
      <w:pPr>
        <w:rPr>
          <w:rFonts w:ascii="Bookman Old Style" w:hAnsi="Bookman Old Style"/>
        </w:rPr>
      </w:pPr>
      <w:proofErr w:type="gramStart"/>
      <w:r>
        <w:rPr>
          <w:rFonts w:ascii="Bookman Old Style" w:hAnsi="Bookman Old Style"/>
        </w:rPr>
        <w:t>E’</w:t>
      </w:r>
      <w:proofErr w:type="gramEnd"/>
      <w:r>
        <w:rPr>
          <w:rFonts w:ascii="Bookman Old Style" w:hAnsi="Bookman Old Style"/>
        </w:rPr>
        <w:t xml:space="preserve"> stato trasmesso all</w:t>
      </w:r>
      <w:r w:rsidR="00F930ED">
        <w:rPr>
          <w:rFonts w:ascii="Bookman Old Style" w:hAnsi="Bookman Old Style"/>
        </w:rPr>
        <w:t>a</w:t>
      </w:r>
      <w:r>
        <w:rPr>
          <w:rFonts w:ascii="Bookman Old Style" w:hAnsi="Bookman Old Style"/>
        </w:rPr>
        <w:t xml:space="preserve"> Camera dei deput</w:t>
      </w:r>
      <w:r w:rsidR="00F930ED">
        <w:rPr>
          <w:rFonts w:ascii="Bookman Old Style" w:hAnsi="Bookman Old Style"/>
        </w:rPr>
        <w:t>a</w:t>
      </w:r>
      <w:r>
        <w:rPr>
          <w:rFonts w:ascii="Bookman Old Style" w:hAnsi="Bookman Old Style"/>
        </w:rPr>
        <w:t>ti in prima lettura ed assegnato alle commis</w:t>
      </w:r>
      <w:r w:rsidR="00F930ED">
        <w:rPr>
          <w:rFonts w:ascii="Bookman Old Style" w:hAnsi="Bookman Old Style"/>
        </w:rPr>
        <w:t>s</w:t>
      </w:r>
      <w:r>
        <w:rPr>
          <w:rFonts w:ascii="Bookman Old Style" w:hAnsi="Bookman Old Style"/>
        </w:rPr>
        <w:t xml:space="preserve">ioni riunite </w:t>
      </w:r>
      <w:r w:rsidR="00F930ED">
        <w:rPr>
          <w:rFonts w:ascii="Bookman Old Style" w:hAnsi="Bookman Old Style"/>
        </w:rPr>
        <w:t>bilancio e finanze (AC 3614)</w:t>
      </w:r>
      <w:r w:rsidR="002E0C82">
        <w:rPr>
          <w:rFonts w:ascii="Bookman Old Style" w:hAnsi="Bookman Old Style"/>
        </w:rPr>
        <w:t>.</w:t>
      </w:r>
    </w:p>
    <w:p w14:paraId="512C3D83" w14:textId="2940AE2C" w:rsidR="00DD3AEC" w:rsidRDefault="00DD3AEC" w:rsidP="0074456E">
      <w:pPr>
        <w:rPr>
          <w:rFonts w:ascii="Bookman Old Style" w:hAnsi="Bookman Old Style"/>
        </w:rPr>
      </w:pPr>
    </w:p>
    <w:p w14:paraId="691523D3" w14:textId="55D89A87" w:rsidR="0074456E" w:rsidRDefault="00300316" w:rsidP="0074456E">
      <w:pPr>
        <w:rPr>
          <w:rFonts w:ascii="Bookman Old Style" w:hAnsi="Bookman Old Style"/>
        </w:rPr>
      </w:pPr>
      <w:r>
        <w:rPr>
          <w:rFonts w:ascii="Bookman Old Style" w:hAnsi="Bookman Old Style"/>
        </w:rPr>
        <w:t>S</w:t>
      </w:r>
      <w:r w:rsidR="00E21511" w:rsidRPr="00EC2721">
        <w:rPr>
          <w:rFonts w:ascii="Bookman Old Style" w:hAnsi="Bookman Old Style"/>
        </w:rPr>
        <w:t xml:space="preserve">i riportano di seguito </w:t>
      </w:r>
      <w:r w:rsidR="00DC25D2" w:rsidRPr="00EC2721">
        <w:rPr>
          <w:rFonts w:ascii="Bookman Old Style" w:hAnsi="Bookman Old Style"/>
        </w:rPr>
        <w:t>i contenuti del</w:t>
      </w:r>
      <w:r w:rsidR="00E21511" w:rsidRPr="00EC2721">
        <w:rPr>
          <w:rFonts w:ascii="Bookman Old Style" w:hAnsi="Bookman Old Style"/>
        </w:rPr>
        <w:t>le norme più importanti per i Comuni</w:t>
      </w:r>
      <w:r w:rsidR="002E0C82">
        <w:rPr>
          <w:rFonts w:ascii="Bookman Old Style" w:hAnsi="Bookman Old Style"/>
        </w:rPr>
        <w:t xml:space="preserve"> e le Città metropolitane.</w:t>
      </w:r>
    </w:p>
    <w:p w14:paraId="1FF1307B" w14:textId="77777777" w:rsidR="005E7E9D" w:rsidRPr="00EC2721" w:rsidRDefault="005E7E9D" w:rsidP="0074456E">
      <w:pPr>
        <w:rPr>
          <w:rFonts w:ascii="Bookman Old Style" w:hAnsi="Bookman Old Style"/>
        </w:rPr>
      </w:pPr>
    </w:p>
    <w:p w14:paraId="10C293A8" w14:textId="2B665B02" w:rsidR="0074456E" w:rsidRPr="000B6EF6" w:rsidRDefault="000B6EF6" w:rsidP="000B6EF6">
      <w:pPr>
        <w:pStyle w:val="Titolo2"/>
        <w:spacing w:before="0" w:after="0"/>
        <w:jc w:val="left"/>
        <w:rPr>
          <w:rFonts w:ascii="Bookman Old Style" w:hAnsi="Bookman Old Style" w:cs="Times New Roman"/>
          <w:bCs/>
          <w:i w:val="0"/>
          <w:iCs/>
          <w:szCs w:val="22"/>
        </w:rPr>
      </w:pPr>
      <w:r w:rsidRPr="000B6EF6">
        <w:rPr>
          <w:rFonts w:ascii="Bookman Old Style" w:hAnsi="Bookman Old Style" w:cs="Times New Roman"/>
          <w:bCs/>
          <w:i w:val="0"/>
          <w:iCs/>
          <w:color w:val="002060"/>
          <w:szCs w:val="22"/>
        </w:rPr>
        <w:t xml:space="preserve">DISPOSIZIONI IN MATERIA DI ENERGIA </w:t>
      </w:r>
    </w:p>
    <w:p w14:paraId="76C0EC72" w14:textId="46CEA307" w:rsidR="00042EA5" w:rsidRDefault="00042EA5" w:rsidP="00042EA5"/>
    <w:p w14:paraId="7AABFA32" w14:textId="10C1D9C0" w:rsidR="00DD3AEC" w:rsidRPr="00DD3AEC" w:rsidRDefault="00DD3AEC" w:rsidP="00DD3AEC">
      <w:pPr>
        <w:numPr>
          <w:ilvl w:val="0"/>
          <w:numId w:val="9"/>
        </w:numPr>
        <w:spacing w:after="240" w:line="259" w:lineRule="auto"/>
        <w:jc w:val="left"/>
        <w:rPr>
          <w:rFonts w:ascii="Bookman Old Style" w:hAnsi="Bookman Old Style"/>
          <w:b/>
          <w:bCs/>
          <w:color w:val="002060"/>
        </w:rPr>
      </w:pPr>
      <w:r w:rsidRPr="00DD3AEC">
        <w:rPr>
          <w:rFonts w:ascii="Bookman Old Style" w:hAnsi="Bookman Old Style"/>
          <w:b/>
          <w:bCs/>
          <w:color w:val="002060"/>
        </w:rPr>
        <w:t>Disposizioni per la realizzazione di nuova capacità di rigassificazione</w:t>
      </w:r>
      <w:r w:rsidR="00D46395">
        <w:rPr>
          <w:rFonts w:ascii="Bookman Old Style" w:hAnsi="Bookman Old Style"/>
          <w:b/>
          <w:bCs/>
          <w:color w:val="002060"/>
        </w:rPr>
        <w:t xml:space="preserve"> (Art.</w:t>
      </w:r>
      <w:r w:rsidR="00F930ED" w:rsidRPr="00DD3AEC">
        <w:rPr>
          <w:rFonts w:ascii="Bookman Old Style" w:hAnsi="Bookman Old Style"/>
          <w:b/>
          <w:bCs/>
          <w:color w:val="002060"/>
        </w:rPr>
        <w:t xml:space="preserve"> 5</w:t>
      </w:r>
      <w:r w:rsidR="00D46395">
        <w:rPr>
          <w:rFonts w:ascii="Bookman Old Style" w:hAnsi="Bookman Old Style"/>
          <w:b/>
          <w:bCs/>
          <w:color w:val="002060"/>
        </w:rPr>
        <w:t>)</w:t>
      </w:r>
    </w:p>
    <w:p w14:paraId="32AA5503" w14:textId="3948445A" w:rsidR="00DD3AEC" w:rsidRPr="00DD3AEC" w:rsidRDefault="00DD3AEC" w:rsidP="002E0C82">
      <w:pPr>
        <w:spacing w:after="240"/>
        <w:rPr>
          <w:rFonts w:ascii="Bookman Old Style" w:eastAsia="Times New Roman" w:hAnsi="Bookman Old Style"/>
        </w:rPr>
      </w:pPr>
      <w:r w:rsidRPr="00DD3AEC">
        <w:rPr>
          <w:rFonts w:ascii="Bookman Old Style" w:eastAsia="Times New Roman" w:hAnsi="Bookman Old Style"/>
        </w:rPr>
        <w:t xml:space="preserve">La norma, dopo i primi commi dedicati ai Commissari e alle relative funzioni, disciplina il potenziamento e la semplificazione della capacità di rigassificazione. In particolare, istituisce una dotazione di 30 milioni di euro per ciascuno degli anni dal 2024 al 2043, al fine di assicurare la garanzia degli investimenti prevista per la limitazione del rischio sopportato dalle imprese di rigassificazione </w:t>
      </w:r>
      <w:r w:rsidR="008C2A29">
        <w:rPr>
          <w:rFonts w:ascii="Bookman Old Style" w:eastAsia="Times New Roman" w:hAnsi="Bookman Old Style"/>
        </w:rPr>
        <w:t xml:space="preserve">che </w:t>
      </w:r>
      <w:r w:rsidRPr="00DD3AEC">
        <w:rPr>
          <w:rFonts w:ascii="Bookman Old Style" w:eastAsia="Times New Roman" w:hAnsi="Bookman Old Style"/>
        </w:rPr>
        <w:t xml:space="preserve">realizzano e gestiscono le opere e le infrastrutture sul territorio nazionale. </w:t>
      </w:r>
      <w:proofErr w:type="gramStart"/>
      <w:r w:rsidRPr="00DD3AEC">
        <w:rPr>
          <w:rFonts w:ascii="Bookman Old Style" w:eastAsia="Times New Roman" w:hAnsi="Bookman Old Style"/>
        </w:rPr>
        <w:t>Inoltre</w:t>
      </w:r>
      <w:proofErr w:type="gramEnd"/>
      <w:r w:rsidRPr="00DD3AEC">
        <w:rPr>
          <w:rFonts w:ascii="Bookman Old Style" w:eastAsia="Times New Roman" w:hAnsi="Bookman Old Style"/>
        </w:rPr>
        <w:t xml:space="preserve"> si prevede la riduzione dei tempi di realizzazione </w:t>
      </w:r>
      <w:r w:rsidR="008C2A29">
        <w:rPr>
          <w:rFonts w:ascii="Bookman Old Style" w:eastAsia="Times New Roman" w:hAnsi="Bookman Old Style"/>
        </w:rPr>
        <w:t xml:space="preserve">delle </w:t>
      </w:r>
      <w:r w:rsidRPr="00DD3AEC">
        <w:rPr>
          <w:rFonts w:ascii="Bookman Old Style" w:eastAsia="Times New Roman" w:hAnsi="Bookman Old Style"/>
        </w:rPr>
        <w:t xml:space="preserve">opere mediante unità galleggianti. </w:t>
      </w:r>
    </w:p>
    <w:p w14:paraId="4B8C2FE0" w14:textId="77777777" w:rsidR="00DD3AEC" w:rsidRPr="00DD3AEC" w:rsidRDefault="00DD3AEC" w:rsidP="00DD3AEC">
      <w:pPr>
        <w:spacing w:after="240"/>
        <w:ind w:left="720"/>
        <w:contextualSpacing/>
        <w:rPr>
          <w:rFonts w:ascii="Bookman Old Style" w:eastAsia="Times New Roman" w:hAnsi="Bookman Old Style"/>
        </w:rPr>
      </w:pPr>
    </w:p>
    <w:p w14:paraId="5C1591C5" w14:textId="0D3AF62A" w:rsidR="00DD3AEC" w:rsidRPr="00DD3AEC" w:rsidRDefault="00DD3AEC" w:rsidP="008C2A29">
      <w:pPr>
        <w:numPr>
          <w:ilvl w:val="0"/>
          <w:numId w:val="9"/>
        </w:numPr>
        <w:spacing w:after="240" w:line="259" w:lineRule="auto"/>
        <w:rPr>
          <w:rFonts w:ascii="Bookman Old Style" w:hAnsi="Bookman Old Style"/>
          <w:b/>
          <w:bCs/>
          <w:color w:val="002060"/>
        </w:rPr>
      </w:pPr>
      <w:r w:rsidRPr="00DD3AEC">
        <w:rPr>
          <w:rFonts w:ascii="Bookman Old Style" w:hAnsi="Bookman Old Style"/>
          <w:b/>
          <w:bCs/>
          <w:color w:val="002060"/>
        </w:rPr>
        <w:t>Disposizioni in materia di procedure autorizzative per gli impianti di produzione di energia da fonti rinnovabili</w:t>
      </w:r>
      <w:r w:rsidR="00F930ED" w:rsidRPr="002E0C82">
        <w:rPr>
          <w:rFonts w:ascii="Bookman Old Style" w:hAnsi="Bookman Old Style"/>
          <w:b/>
          <w:bCs/>
          <w:color w:val="002060"/>
        </w:rPr>
        <w:t xml:space="preserve"> </w:t>
      </w:r>
      <w:r w:rsidR="002E0C82" w:rsidRPr="002E0C82">
        <w:rPr>
          <w:rFonts w:ascii="Bookman Old Style" w:hAnsi="Bookman Old Style"/>
          <w:b/>
          <w:bCs/>
          <w:color w:val="002060"/>
        </w:rPr>
        <w:t>(</w:t>
      </w:r>
      <w:r w:rsidR="00F930ED" w:rsidRPr="00DD3AEC">
        <w:rPr>
          <w:rFonts w:ascii="Bookman Old Style" w:hAnsi="Bookman Old Style"/>
          <w:b/>
          <w:bCs/>
          <w:color w:val="002060"/>
        </w:rPr>
        <w:t>Art. 6</w:t>
      </w:r>
      <w:r w:rsidR="002E0C82" w:rsidRPr="002E0C82">
        <w:rPr>
          <w:rFonts w:ascii="Bookman Old Style" w:hAnsi="Bookman Old Style"/>
          <w:b/>
          <w:bCs/>
          <w:color w:val="002060"/>
        </w:rPr>
        <w:t>)</w:t>
      </w:r>
    </w:p>
    <w:p w14:paraId="428613E6" w14:textId="1389E89A" w:rsidR="00DD3AEC" w:rsidRPr="00DD3AEC" w:rsidRDefault="00767735" w:rsidP="00DD3AEC">
      <w:pPr>
        <w:spacing w:after="240"/>
        <w:rPr>
          <w:rFonts w:ascii="Bookman Old Style" w:eastAsia="Times New Roman" w:hAnsi="Bookman Old Style"/>
          <w:u w:val="single"/>
        </w:rPr>
      </w:pPr>
      <w:r>
        <w:rPr>
          <w:rFonts w:ascii="Bookman Old Style" w:eastAsia="Times New Roman" w:hAnsi="Bookman Old Style"/>
        </w:rPr>
        <w:t>La norma in oggetto</w:t>
      </w:r>
      <w:r w:rsidR="00DD3AEC" w:rsidRPr="00DD3AEC">
        <w:rPr>
          <w:rFonts w:ascii="Bookman Old Style" w:eastAsia="Times New Roman" w:hAnsi="Bookman Old Style"/>
        </w:rPr>
        <w:t xml:space="preserve"> di fatto sostituisce e “commissaria” il lavoro che, in attuazione del Decreto Legislativo 199/21, di recepimento della Direttiva RED 2, si sta portando avanti </w:t>
      </w:r>
      <w:r w:rsidR="008C2A29">
        <w:rPr>
          <w:rFonts w:ascii="Bookman Old Style" w:eastAsia="Times New Roman" w:hAnsi="Bookman Old Style"/>
        </w:rPr>
        <w:t xml:space="preserve">tra </w:t>
      </w:r>
      <w:r w:rsidR="00DD3AEC" w:rsidRPr="00DD3AEC">
        <w:rPr>
          <w:rFonts w:ascii="Bookman Old Style" w:eastAsia="Times New Roman" w:hAnsi="Bookman Old Style"/>
        </w:rPr>
        <w:t xml:space="preserve">Regioni e MITE sull’individuazione delle Aree Idonee. </w:t>
      </w:r>
      <w:proofErr w:type="gramStart"/>
      <w:r w:rsidR="00DD3AEC" w:rsidRPr="00DD3AEC">
        <w:rPr>
          <w:rFonts w:ascii="Bookman Old Style" w:eastAsia="Times New Roman" w:hAnsi="Bookman Old Style"/>
        </w:rPr>
        <w:t>Purtroppo</w:t>
      </w:r>
      <w:proofErr w:type="gramEnd"/>
      <w:r w:rsidR="00DD3AEC" w:rsidRPr="00DD3AEC">
        <w:rPr>
          <w:rFonts w:ascii="Bookman Old Style" w:eastAsia="Times New Roman" w:hAnsi="Bookman Old Style"/>
        </w:rPr>
        <w:t xml:space="preserve"> </w:t>
      </w:r>
      <w:r w:rsidR="008C2A29">
        <w:rPr>
          <w:rFonts w:ascii="Bookman Old Style" w:eastAsia="Times New Roman" w:hAnsi="Bookman Old Style"/>
        </w:rPr>
        <w:t xml:space="preserve">tale </w:t>
      </w:r>
      <w:r w:rsidR="00DD3AEC" w:rsidRPr="00DD3AEC">
        <w:rPr>
          <w:rFonts w:ascii="Bookman Old Style" w:eastAsia="Times New Roman" w:hAnsi="Bookman Old Style"/>
        </w:rPr>
        <w:t xml:space="preserve">tema, al di là dell’urgenza di aumentare la potenza rinnovabile, </w:t>
      </w:r>
      <w:r w:rsidR="008C2A29">
        <w:rPr>
          <w:rFonts w:ascii="Bookman Old Style" w:eastAsia="Times New Roman" w:hAnsi="Bookman Old Style"/>
        </w:rPr>
        <w:t xml:space="preserve">è </w:t>
      </w:r>
      <w:r w:rsidR="00DD3AEC" w:rsidRPr="00DD3AEC">
        <w:rPr>
          <w:rFonts w:ascii="Bookman Old Style" w:eastAsia="Times New Roman" w:hAnsi="Bookman Old Style"/>
        </w:rPr>
        <w:t xml:space="preserve">assai delicato per l’assetto del nostro Paese. </w:t>
      </w:r>
      <w:r w:rsidR="00DD3AEC" w:rsidRPr="00DD3AEC">
        <w:rPr>
          <w:rFonts w:ascii="Bookman Old Style" w:eastAsia="Times New Roman" w:hAnsi="Bookman Old Style"/>
          <w:u w:val="single"/>
        </w:rPr>
        <w:t xml:space="preserve">Né nel primo caso, né nel secondo sono stati coinvolti o è previsto un passaggio – anche tecnico – di concertazione con i Comuni e i territori. </w:t>
      </w:r>
    </w:p>
    <w:p w14:paraId="2CB63686" w14:textId="66759B9A" w:rsidR="00DD3AEC" w:rsidRPr="00DD3AEC" w:rsidRDefault="00DD3AEC" w:rsidP="00DD3AEC">
      <w:pPr>
        <w:spacing w:after="240"/>
        <w:rPr>
          <w:rFonts w:ascii="Bookman Old Style" w:eastAsia="Times New Roman" w:hAnsi="Bookman Old Style"/>
        </w:rPr>
      </w:pPr>
      <w:r w:rsidRPr="00DD3AEC">
        <w:rPr>
          <w:rFonts w:ascii="Bookman Old Style" w:eastAsia="Times New Roman" w:hAnsi="Bookman Old Style"/>
        </w:rPr>
        <w:lastRenderedPageBreak/>
        <w:t xml:space="preserve">In particolare, </w:t>
      </w:r>
      <w:r w:rsidR="00AF2B05">
        <w:rPr>
          <w:rFonts w:ascii="Bookman Old Style" w:eastAsia="Times New Roman" w:hAnsi="Bookman Old Style"/>
        </w:rPr>
        <w:t>sono individuate</w:t>
      </w:r>
      <w:r w:rsidRPr="00DD3AEC">
        <w:rPr>
          <w:rFonts w:ascii="Bookman Old Style" w:eastAsia="Times New Roman" w:hAnsi="Bookman Old Style"/>
        </w:rPr>
        <w:t xml:space="preserve"> come idonee tutte le aree non sottoposte a tutela secondo </w:t>
      </w:r>
      <w:proofErr w:type="gramStart"/>
      <w:r w:rsidRPr="00DD3AEC">
        <w:rPr>
          <w:rFonts w:ascii="Bookman Old Style" w:eastAsia="Times New Roman" w:hAnsi="Bookman Old Style"/>
        </w:rPr>
        <w:t>il  decreto</w:t>
      </w:r>
      <w:proofErr w:type="gramEnd"/>
      <w:r w:rsidRPr="00DD3AEC">
        <w:rPr>
          <w:rFonts w:ascii="Bookman Old Style" w:eastAsia="Times New Roman" w:hAnsi="Bookman Old Style"/>
        </w:rPr>
        <w:t xml:space="preserve"> legislativo 22 gennaio 2004, n. 42, stravolgendo il senso del percorso intrapreso finora, in cui i criteri di limitazione non sono soltanto quelli inerenti il paesaggio e i beni culturali. </w:t>
      </w:r>
      <w:r w:rsidR="00FB2522">
        <w:rPr>
          <w:rFonts w:ascii="Bookman Old Style" w:eastAsia="Times New Roman" w:hAnsi="Bookman Old Style"/>
        </w:rPr>
        <w:t xml:space="preserve">Si segnala come non sia </w:t>
      </w:r>
      <w:r w:rsidRPr="00DD3AEC">
        <w:rPr>
          <w:rFonts w:ascii="Bookman Old Style" w:eastAsia="Times New Roman" w:hAnsi="Bookman Old Style"/>
        </w:rPr>
        <w:t xml:space="preserve">contemplato minimamente </w:t>
      </w:r>
      <w:r w:rsidR="00FB007F">
        <w:rPr>
          <w:rFonts w:ascii="Bookman Old Style" w:eastAsia="Times New Roman" w:hAnsi="Bookman Old Style"/>
        </w:rPr>
        <w:t>e</w:t>
      </w:r>
      <w:r w:rsidRPr="00DD3AEC">
        <w:rPr>
          <w:rFonts w:ascii="Bookman Old Style" w:eastAsia="Times New Roman" w:hAnsi="Bookman Old Style"/>
        </w:rPr>
        <w:t xml:space="preserve"> gravemente sottovalutato il tema agricolo. </w:t>
      </w:r>
      <w:r w:rsidR="00FB007F">
        <w:rPr>
          <w:rFonts w:ascii="Bookman Old Style" w:eastAsia="Times New Roman" w:hAnsi="Bookman Old Style"/>
        </w:rPr>
        <w:t>Il comma 2</w:t>
      </w:r>
      <w:r w:rsidR="003D58B5">
        <w:rPr>
          <w:rFonts w:ascii="Bookman Old Style" w:eastAsia="Times New Roman" w:hAnsi="Bookman Old Style"/>
        </w:rPr>
        <w:t xml:space="preserve"> introduce un</w:t>
      </w:r>
      <w:r w:rsidRPr="00DD3AEC">
        <w:rPr>
          <w:rFonts w:ascii="Bookman Old Style" w:eastAsia="Times New Roman" w:hAnsi="Bookman Old Style"/>
        </w:rPr>
        <w:t xml:space="preserve"> margine di tutela che rimanda al Ministero della cultura l’emanazione di un atto, entro 60 gg dall’entrata in vigore del DL,  per stabilire “criteri uniformi di valutazione dei progetti di impianti di energia da fonti rinnovabili, idonei a facilitare la conclusione dei procedimenti, assicurando che la motivazione delle eventuali valutazioni negative dia adeguata evidenza della sussistenza di stringenti, comprovate e puntuali esigenze di tutela degli interessi culturali o paesaggistici, nel rispetto della specificità delle caratteristiche dei diversi territori”. </w:t>
      </w:r>
    </w:p>
    <w:p w14:paraId="65566F98" w14:textId="06BD6837" w:rsidR="00DD3AEC" w:rsidRPr="00DD3AEC" w:rsidRDefault="00DD3AEC" w:rsidP="00DD3AEC">
      <w:pPr>
        <w:spacing w:after="240"/>
        <w:rPr>
          <w:rFonts w:ascii="Bookman Old Style" w:eastAsia="Times New Roman" w:hAnsi="Bookman Old Style"/>
        </w:rPr>
      </w:pPr>
      <w:r w:rsidRPr="00DD3AEC">
        <w:rPr>
          <w:rFonts w:ascii="Bookman Old Style" w:eastAsia="Times New Roman" w:hAnsi="Bookman Old Style"/>
        </w:rPr>
        <w:t xml:space="preserve">Si ritiene che medesimo lavoro di qualità e uniformità vada imposto agli operatori che presentano progetti. Si ritiene inoltre prioritaria l’individuazione di aree già compromesse industriali dismesse e attive, siti bonificati o da bonificare. </w:t>
      </w:r>
      <w:proofErr w:type="gramStart"/>
      <w:r w:rsidR="005201C8">
        <w:rPr>
          <w:rFonts w:ascii="Bookman Old Style" w:eastAsia="Times New Roman" w:hAnsi="Bookman Old Style"/>
        </w:rPr>
        <w:t>Pertanto</w:t>
      </w:r>
      <w:proofErr w:type="gramEnd"/>
      <w:r w:rsidR="005201C8">
        <w:rPr>
          <w:rFonts w:ascii="Bookman Old Style" w:eastAsia="Times New Roman" w:hAnsi="Bookman Old Style"/>
        </w:rPr>
        <w:t xml:space="preserve"> </w:t>
      </w:r>
      <w:r w:rsidR="007871E7">
        <w:rPr>
          <w:rFonts w:ascii="Bookman Old Style" w:eastAsia="Times New Roman" w:hAnsi="Bookman Old Style"/>
        </w:rPr>
        <w:t xml:space="preserve">il tenore letterale della disposizione in commento </w:t>
      </w:r>
      <w:r w:rsidRPr="00DD3AEC">
        <w:rPr>
          <w:rFonts w:ascii="Bookman Old Style" w:eastAsia="Times New Roman" w:hAnsi="Bookman Old Style"/>
        </w:rPr>
        <w:t xml:space="preserve">rischia di danneggiare gravemente l’equilibrio territoriale senza una fondata motivazione, dato che equipara il valore del suolo “vergine” agricolo o libero a quello già gravemente antropizzato. </w:t>
      </w:r>
    </w:p>
    <w:p w14:paraId="40040DE9" w14:textId="77777777" w:rsidR="00DD3AEC" w:rsidRPr="00DD3AEC" w:rsidRDefault="00DD3AEC" w:rsidP="00DD3AEC">
      <w:pPr>
        <w:spacing w:after="240"/>
        <w:rPr>
          <w:rFonts w:ascii="Bookman Old Style" w:eastAsia="Times New Roman" w:hAnsi="Bookman Old Style"/>
        </w:rPr>
      </w:pPr>
      <w:r w:rsidRPr="00DD3AEC">
        <w:rPr>
          <w:rFonts w:ascii="Bookman Old Style" w:eastAsia="Times New Roman" w:hAnsi="Bookman Old Style"/>
        </w:rPr>
        <w:t xml:space="preserve"> </w:t>
      </w:r>
    </w:p>
    <w:p w14:paraId="76966880" w14:textId="5BAD120B" w:rsidR="00DD3AEC" w:rsidRPr="00DD3AEC" w:rsidRDefault="00DD3AEC" w:rsidP="00DD3AEC">
      <w:pPr>
        <w:numPr>
          <w:ilvl w:val="0"/>
          <w:numId w:val="9"/>
        </w:numPr>
        <w:spacing w:after="240" w:line="259" w:lineRule="auto"/>
        <w:jc w:val="left"/>
        <w:rPr>
          <w:rFonts w:ascii="Bookman Old Style" w:hAnsi="Bookman Old Style"/>
          <w:b/>
          <w:bCs/>
          <w:color w:val="002060"/>
        </w:rPr>
      </w:pPr>
      <w:r w:rsidRPr="00DD3AEC">
        <w:rPr>
          <w:rFonts w:ascii="Bookman Old Style" w:hAnsi="Bookman Old Style"/>
          <w:b/>
          <w:bCs/>
          <w:color w:val="002060"/>
        </w:rPr>
        <w:t>Semplificazione dei procedimenti di autorizzazione di impianti di produzione di energia elettrica alimentati da fonti rinnovabili</w:t>
      </w:r>
      <w:r w:rsidR="00F930ED" w:rsidRPr="00F4585B">
        <w:rPr>
          <w:rFonts w:ascii="Bookman Old Style" w:hAnsi="Bookman Old Style"/>
          <w:b/>
          <w:bCs/>
          <w:color w:val="002060"/>
        </w:rPr>
        <w:t xml:space="preserve"> </w:t>
      </w:r>
      <w:r w:rsidR="00F4585B" w:rsidRPr="00F4585B">
        <w:rPr>
          <w:rFonts w:ascii="Bookman Old Style" w:hAnsi="Bookman Old Style"/>
          <w:b/>
          <w:bCs/>
          <w:color w:val="002060"/>
        </w:rPr>
        <w:t>(</w:t>
      </w:r>
      <w:r w:rsidR="00F930ED" w:rsidRPr="00DD3AEC">
        <w:rPr>
          <w:rFonts w:ascii="Bookman Old Style" w:hAnsi="Bookman Old Style"/>
          <w:b/>
          <w:bCs/>
          <w:color w:val="002060"/>
        </w:rPr>
        <w:t>Art. 7</w:t>
      </w:r>
      <w:r w:rsidR="00F4585B" w:rsidRPr="00F4585B">
        <w:rPr>
          <w:rFonts w:ascii="Bookman Old Style" w:hAnsi="Bookman Old Style"/>
          <w:b/>
          <w:bCs/>
          <w:color w:val="002060"/>
        </w:rPr>
        <w:t>)</w:t>
      </w:r>
    </w:p>
    <w:p w14:paraId="0333F3EF" w14:textId="627E12B1" w:rsidR="00DD3AEC" w:rsidRPr="00DD3AEC" w:rsidRDefault="00DD3AEC" w:rsidP="00DD3AEC">
      <w:pPr>
        <w:spacing w:after="240"/>
        <w:rPr>
          <w:rFonts w:ascii="Bookman Old Style" w:eastAsia="Times New Roman" w:hAnsi="Bookman Old Style"/>
        </w:rPr>
      </w:pPr>
      <w:r w:rsidRPr="00DD3AEC">
        <w:rPr>
          <w:rFonts w:ascii="Bookman Old Style" w:eastAsia="Times New Roman" w:hAnsi="Bookman Old Style"/>
        </w:rPr>
        <w:t xml:space="preserve">La norma stabilisce che nel caso di impianti da sottoporre a VIA statale, le deliberazioni del </w:t>
      </w:r>
      <w:proofErr w:type="gramStart"/>
      <w:r w:rsidRPr="00DD3AEC">
        <w:rPr>
          <w:rFonts w:ascii="Bookman Old Style" w:eastAsia="Times New Roman" w:hAnsi="Bookman Old Style"/>
        </w:rPr>
        <w:t>Consiglio dei Ministri</w:t>
      </w:r>
      <w:proofErr w:type="gramEnd"/>
      <w:r w:rsidRPr="00DD3AEC">
        <w:rPr>
          <w:rFonts w:ascii="Bookman Old Style" w:eastAsia="Times New Roman" w:hAnsi="Bookman Old Style"/>
        </w:rPr>
        <w:t xml:space="preserve"> sostituiscano il procedimento, da cui decorrono 60 giorni per l’effettiva autorizzazione. Alle riunioni del Consiglio dei ministri convocate per l’adozione delle deliberazioni possono essere invitati, senza diritto di voto, i Presidenti delle regioni e delle province autonome interessate, che esprimono definitivamente la posizione dell’amministrazione di riferimento e delle amministrazioni non statali che abbiano partecipato al procedimento autorizzatorio. Quindi anche dei Comuni interessati.</w:t>
      </w:r>
    </w:p>
    <w:p w14:paraId="7B21CDFE" w14:textId="77777777" w:rsidR="00DD3AEC" w:rsidRPr="00DD3AEC" w:rsidRDefault="00DD3AEC" w:rsidP="00DD3AEC">
      <w:pPr>
        <w:spacing w:after="240"/>
        <w:rPr>
          <w:rFonts w:ascii="Bookman Old Style" w:eastAsia="Times New Roman" w:hAnsi="Bookman Old Style"/>
        </w:rPr>
      </w:pPr>
    </w:p>
    <w:p w14:paraId="5AE895FD" w14:textId="17C7EFE4" w:rsidR="00DD3AEC" w:rsidRPr="00DD3AEC" w:rsidRDefault="00DD3AEC" w:rsidP="00DD3AEC">
      <w:pPr>
        <w:numPr>
          <w:ilvl w:val="0"/>
          <w:numId w:val="9"/>
        </w:numPr>
        <w:spacing w:after="240" w:line="259" w:lineRule="auto"/>
        <w:jc w:val="left"/>
        <w:rPr>
          <w:rFonts w:ascii="Bookman Old Style" w:hAnsi="Bookman Old Style"/>
          <w:b/>
          <w:bCs/>
          <w:color w:val="002060"/>
        </w:rPr>
      </w:pPr>
      <w:r w:rsidRPr="00DD3AEC">
        <w:rPr>
          <w:rFonts w:ascii="Bookman Old Style" w:hAnsi="Bookman Old Style"/>
          <w:b/>
          <w:bCs/>
          <w:color w:val="002060"/>
        </w:rPr>
        <w:t>Incremento della produzione di energia elettrica da fonti rinnovabili per il settore agricolo</w:t>
      </w:r>
      <w:r w:rsidR="00F930ED" w:rsidRPr="00244B19">
        <w:rPr>
          <w:rFonts w:ascii="Bookman Old Style" w:hAnsi="Bookman Old Style"/>
          <w:b/>
          <w:bCs/>
          <w:color w:val="002060"/>
        </w:rPr>
        <w:t xml:space="preserve"> </w:t>
      </w:r>
      <w:r w:rsidR="00421578" w:rsidRPr="00244B19">
        <w:rPr>
          <w:rFonts w:ascii="Bookman Old Style" w:hAnsi="Bookman Old Style"/>
          <w:b/>
          <w:bCs/>
          <w:color w:val="002060"/>
        </w:rPr>
        <w:t>(</w:t>
      </w:r>
      <w:r w:rsidR="00F930ED" w:rsidRPr="00DD3AEC">
        <w:rPr>
          <w:rFonts w:ascii="Bookman Old Style" w:hAnsi="Bookman Old Style"/>
          <w:b/>
          <w:bCs/>
          <w:color w:val="002060"/>
        </w:rPr>
        <w:t>A</w:t>
      </w:r>
      <w:r w:rsidR="00421578" w:rsidRPr="00244B19">
        <w:rPr>
          <w:rFonts w:ascii="Bookman Old Style" w:hAnsi="Bookman Old Style"/>
          <w:b/>
          <w:bCs/>
          <w:color w:val="002060"/>
        </w:rPr>
        <w:t>rt</w:t>
      </w:r>
      <w:r w:rsidR="00F930ED" w:rsidRPr="00DD3AEC">
        <w:rPr>
          <w:rFonts w:ascii="Bookman Old Style" w:hAnsi="Bookman Old Style"/>
          <w:b/>
          <w:bCs/>
          <w:color w:val="002060"/>
        </w:rPr>
        <w:t>. 8</w:t>
      </w:r>
      <w:r w:rsidR="00421578" w:rsidRPr="00244B19">
        <w:rPr>
          <w:rFonts w:ascii="Bookman Old Style" w:hAnsi="Bookman Old Style"/>
          <w:b/>
          <w:bCs/>
          <w:color w:val="002060"/>
        </w:rPr>
        <w:t>)</w:t>
      </w:r>
    </w:p>
    <w:p w14:paraId="27CF0079" w14:textId="77777777" w:rsidR="00DD3AEC" w:rsidRPr="00DD3AEC" w:rsidRDefault="00DD3AEC" w:rsidP="00DD3AEC">
      <w:pPr>
        <w:spacing w:after="240"/>
        <w:rPr>
          <w:rFonts w:ascii="Bookman Old Style" w:eastAsia="Times New Roman" w:hAnsi="Bookman Old Style"/>
        </w:rPr>
      </w:pPr>
      <w:r w:rsidRPr="00DD3AEC">
        <w:rPr>
          <w:rFonts w:ascii="Bookman Old Style" w:eastAsia="Times New Roman" w:hAnsi="Bookman Old Style"/>
        </w:rPr>
        <w:t xml:space="preserve">La norma prevede la possibilità – a nostro avviso già esistente – che gli agricoltori ricorrano all’installazione delle FER sulle proprie coperture per eccedere la produzione energetica di cui hanno bisogno per consumo familiare – aggiungeremo per l’attività agricola – e vendano in rete il surplus. </w:t>
      </w:r>
      <w:r w:rsidRPr="00DD3AEC">
        <w:rPr>
          <w:rFonts w:ascii="Bookman Old Style" w:eastAsia="Times New Roman" w:hAnsi="Bookman Old Style"/>
          <w:u w:val="single"/>
        </w:rPr>
        <w:t>Si ritiene la misura non di aiuto efficace al settore agricolo, a cui andrebbe applicata una tariffa energetica ad hoc (abbattuti gli oneri di sistema) con provvedimento di ARERA e a cui andrebbe incentivato con la politica 2021-2027 di coesione l’accumulo e la vendita di prossimità, anche verso i Comuni e le comunità, senza passare per la rete nazionale.</w:t>
      </w:r>
      <w:r w:rsidRPr="00DD3AEC">
        <w:rPr>
          <w:rFonts w:ascii="Bookman Old Style" w:eastAsia="Times New Roman" w:hAnsi="Bookman Old Style"/>
        </w:rPr>
        <w:t xml:space="preserve"> </w:t>
      </w:r>
    </w:p>
    <w:p w14:paraId="4B51FB92" w14:textId="530DDD35" w:rsidR="00DD3AEC" w:rsidRPr="00DD3AEC" w:rsidRDefault="00DD3AEC" w:rsidP="00DD3AEC">
      <w:pPr>
        <w:numPr>
          <w:ilvl w:val="0"/>
          <w:numId w:val="9"/>
        </w:numPr>
        <w:spacing w:after="240" w:line="259" w:lineRule="auto"/>
        <w:jc w:val="left"/>
        <w:rPr>
          <w:rFonts w:ascii="Bookman Old Style" w:hAnsi="Bookman Old Style"/>
          <w:b/>
          <w:bCs/>
          <w:color w:val="002060"/>
        </w:rPr>
      </w:pPr>
      <w:r w:rsidRPr="00DD3AEC">
        <w:rPr>
          <w:rFonts w:ascii="Bookman Old Style" w:hAnsi="Bookman Old Style"/>
          <w:b/>
          <w:bCs/>
          <w:color w:val="002060"/>
        </w:rPr>
        <w:t>Disposizioni in materia di comunità energetiche rinnovabili</w:t>
      </w:r>
      <w:r w:rsidR="00F930ED" w:rsidRPr="0004187A">
        <w:rPr>
          <w:rFonts w:ascii="Bookman Old Style" w:hAnsi="Bookman Old Style"/>
          <w:b/>
          <w:bCs/>
          <w:color w:val="002060"/>
        </w:rPr>
        <w:t xml:space="preserve"> </w:t>
      </w:r>
      <w:r w:rsidR="0004187A">
        <w:rPr>
          <w:rFonts w:ascii="Bookman Old Style" w:hAnsi="Bookman Old Style"/>
          <w:b/>
          <w:bCs/>
          <w:color w:val="002060"/>
        </w:rPr>
        <w:t>(</w:t>
      </w:r>
      <w:r w:rsidR="00F930ED" w:rsidRPr="00DD3AEC">
        <w:rPr>
          <w:rFonts w:ascii="Bookman Old Style" w:hAnsi="Bookman Old Style"/>
          <w:b/>
          <w:bCs/>
          <w:color w:val="002060"/>
        </w:rPr>
        <w:t>Art. 9</w:t>
      </w:r>
      <w:r w:rsidR="0004187A">
        <w:rPr>
          <w:rFonts w:ascii="Bookman Old Style" w:hAnsi="Bookman Old Style"/>
          <w:b/>
          <w:bCs/>
          <w:color w:val="002060"/>
        </w:rPr>
        <w:t>)</w:t>
      </w:r>
    </w:p>
    <w:p w14:paraId="232CF32C" w14:textId="1618B471" w:rsidR="00DD3AEC" w:rsidRPr="00DD3AEC" w:rsidRDefault="002614D2" w:rsidP="00DD3AEC">
      <w:pPr>
        <w:spacing w:after="240"/>
        <w:rPr>
          <w:rFonts w:ascii="Bookman Old Style" w:eastAsia="Times New Roman" w:hAnsi="Bookman Old Style"/>
        </w:rPr>
      </w:pPr>
      <w:r>
        <w:rPr>
          <w:rFonts w:ascii="Bookman Old Style" w:eastAsia="Times New Roman" w:hAnsi="Bookman Old Style"/>
        </w:rPr>
        <w:t xml:space="preserve">La norma in commento </w:t>
      </w:r>
      <w:r w:rsidR="00DD3AEC" w:rsidRPr="00DD3AEC">
        <w:rPr>
          <w:rFonts w:ascii="Bookman Old Style" w:eastAsia="Times New Roman" w:hAnsi="Bookman Old Style"/>
        </w:rPr>
        <w:t>prevede</w:t>
      </w:r>
      <w:r w:rsidR="00635DE2">
        <w:rPr>
          <w:rFonts w:ascii="Bookman Old Style" w:eastAsia="Times New Roman" w:hAnsi="Bookman Old Style"/>
        </w:rPr>
        <w:t>,</w:t>
      </w:r>
      <w:r w:rsidR="00DD3AEC" w:rsidRPr="00DD3AEC">
        <w:rPr>
          <w:rFonts w:ascii="Bookman Old Style" w:eastAsia="Times New Roman" w:hAnsi="Bookman Old Style"/>
        </w:rPr>
        <w:t xml:space="preserve"> </w:t>
      </w:r>
      <w:r>
        <w:rPr>
          <w:rFonts w:ascii="Bookman Old Style" w:eastAsia="Times New Roman" w:hAnsi="Bookman Old Style"/>
        </w:rPr>
        <w:t>al comma 1</w:t>
      </w:r>
      <w:r w:rsidR="00635DE2">
        <w:rPr>
          <w:rFonts w:ascii="Bookman Old Style" w:eastAsia="Times New Roman" w:hAnsi="Bookman Old Style"/>
        </w:rPr>
        <w:t>,</w:t>
      </w:r>
      <w:r>
        <w:rPr>
          <w:rFonts w:ascii="Bookman Old Style" w:eastAsia="Times New Roman" w:hAnsi="Bookman Old Style"/>
        </w:rPr>
        <w:t xml:space="preserve"> </w:t>
      </w:r>
      <w:r w:rsidR="00635DE2">
        <w:rPr>
          <w:rFonts w:ascii="Bookman Old Style" w:eastAsia="Times New Roman" w:hAnsi="Bookman Old Style"/>
        </w:rPr>
        <w:t xml:space="preserve">una </w:t>
      </w:r>
      <w:r w:rsidR="00DD3AEC" w:rsidRPr="00DD3AEC">
        <w:rPr>
          <w:rFonts w:ascii="Bookman Old Style" w:eastAsia="Times New Roman" w:hAnsi="Bookman Old Style"/>
        </w:rPr>
        <w:t xml:space="preserve">deroga e modifiche al Decreto Legislativo 199/21 e al DL 17 appena emanato, in materia di Comunità energetiche rinnovabili, tema che ANCI ha sottolineato ha la necessità di un chiarimento e una declinazione normativa e regolatoria dedicata. </w:t>
      </w:r>
    </w:p>
    <w:p w14:paraId="0E799E61" w14:textId="5D3FFB40" w:rsidR="00DD3AEC" w:rsidRPr="00DD3AEC" w:rsidRDefault="00DD3AEC" w:rsidP="00DD3AEC">
      <w:pPr>
        <w:spacing w:after="240"/>
        <w:rPr>
          <w:rFonts w:ascii="Bookman Old Style" w:eastAsia="Times New Roman" w:hAnsi="Bookman Old Style"/>
          <w:u w:val="single"/>
        </w:rPr>
      </w:pPr>
      <w:r w:rsidRPr="00DD3AEC">
        <w:rPr>
          <w:rFonts w:ascii="Bookman Old Style" w:eastAsia="Times New Roman" w:hAnsi="Bookman Old Style"/>
        </w:rPr>
        <w:t xml:space="preserve">Nello specifico, la norma prevede due deroghe speciali: per il Ministero della Difesa e per le Autorità Portuali. Nel primo caso, si tratta di una deroga </w:t>
      </w:r>
      <w:proofErr w:type="gramStart"/>
      <w:r w:rsidRPr="00DD3AEC">
        <w:rPr>
          <w:rFonts w:ascii="Bookman Old Style" w:eastAsia="Times New Roman" w:hAnsi="Bookman Old Style"/>
        </w:rPr>
        <w:t xml:space="preserve">dal </w:t>
      </w:r>
      <w:r w:rsidR="00FF0AD1">
        <w:rPr>
          <w:rFonts w:ascii="Bookman Old Style" w:eastAsia="Times New Roman" w:hAnsi="Bookman Old Style"/>
        </w:rPr>
        <w:t xml:space="preserve"> </w:t>
      </w:r>
      <w:proofErr w:type="spellStart"/>
      <w:r w:rsidR="00FF0AD1">
        <w:rPr>
          <w:rFonts w:ascii="Bookman Old Style" w:eastAsia="Times New Roman" w:hAnsi="Bookman Old Style"/>
        </w:rPr>
        <w:t>d.lgs</w:t>
      </w:r>
      <w:proofErr w:type="spellEnd"/>
      <w:proofErr w:type="gramEnd"/>
      <w:r w:rsidR="00B309F9">
        <w:rPr>
          <w:rFonts w:ascii="Bookman Old Style" w:eastAsia="Times New Roman" w:hAnsi="Bookman Old Style"/>
        </w:rPr>
        <w:t xml:space="preserve"> </w:t>
      </w:r>
      <w:r w:rsidRPr="00DD3AEC">
        <w:rPr>
          <w:rFonts w:ascii="Bookman Old Style" w:eastAsia="Times New Roman" w:hAnsi="Bookman Old Style"/>
        </w:rPr>
        <w:t>199</w:t>
      </w:r>
      <w:r w:rsidR="00B309F9">
        <w:rPr>
          <w:rFonts w:ascii="Bookman Old Style" w:eastAsia="Times New Roman" w:hAnsi="Bookman Old Style"/>
        </w:rPr>
        <w:t>/21</w:t>
      </w:r>
      <w:r w:rsidRPr="00DD3AEC">
        <w:rPr>
          <w:rFonts w:ascii="Bookman Old Style" w:eastAsia="Times New Roman" w:hAnsi="Bookman Old Style"/>
        </w:rPr>
        <w:t xml:space="preserve"> per estendere </w:t>
      </w:r>
      <w:r w:rsidRPr="00DD3AEC">
        <w:rPr>
          <w:rFonts w:ascii="Bookman Old Style" w:eastAsia="Times New Roman" w:hAnsi="Bookman Old Style"/>
        </w:rPr>
        <w:lastRenderedPageBreak/>
        <w:t xml:space="preserve">alle realtà presenti sul territorio la possibilità della costituzione di comunità energetiche rinnovabili su base nazionale, accedendo alla tariffa incentivante anche per impianti superiori al Megawatt. ANCI ritiene questa deroga iniqua – la stessa dovrebbe a maggior ragione nel pieno rispetto del modello locale alla base delle CER essere estesa alle altre CER a guida comunale. </w:t>
      </w:r>
      <w:r w:rsidRPr="00DD3AEC">
        <w:rPr>
          <w:rFonts w:ascii="Bookman Old Style" w:eastAsia="Times New Roman" w:hAnsi="Bookman Old Style"/>
          <w:u w:val="single"/>
        </w:rPr>
        <w:t xml:space="preserve">Si ribadisce che le aree militari dislocate sul territorio sono spesso in pieno centro urbano, a queste dovremmo inserire delle limitazioni rispetto la configurazione nazionale, come quota importante di patrimonio locale. </w:t>
      </w:r>
      <w:proofErr w:type="gramStart"/>
      <w:r w:rsidRPr="00DD3AEC">
        <w:rPr>
          <w:rFonts w:ascii="Bookman Old Style" w:eastAsia="Times New Roman" w:hAnsi="Bookman Old Style"/>
          <w:u w:val="single"/>
        </w:rPr>
        <w:t>Inoltre</w:t>
      </w:r>
      <w:proofErr w:type="gramEnd"/>
      <w:r w:rsidRPr="00DD3AEC">
        <w:rPr>
          <w:rFonts w:ascii="Bookman Old Style" w:eastAsia="Times New Roman" w:hAnsi="Bookman Old Style"/>
          <w:u w:val="single"/>
        </w:rPr>
        <w:t xml:space="preserve"> non si comprende il senso di un modello nato per l’equilibrio energetico locale reale, trasformato ora nell’ennesimo meccanismo virtuale nazionale.  </w:t>
      </w:r>
    </w:p>
    <w:p w14:paraId="6ABD95F9" w14:textId="77777777" w:rsidR="00DD3AEC" w:rsidRPr="00DD3AEC" w:rsidRDefault="00DD3AEC" w:rsidP="00DD3AEC">
      <w:pPr>
        <w:spacing w:after="240"/>
        <w:rPr>
          <w:rFonts w:ascii="Bookman Old Style" w:eastAsia="Times New Roman" w:hAnsi="Bookman Old Style"/>
        </w:rPr>
      </w:pPr>
      <w:r w:rsidRPr="00DD3AEC">
        <w:rPr>
          <w:rFonts w:ascii="Bookman Old Style" w:eastAsia="Times New Roman" w:hAnsi="Bookman Old Style"/>
        </w:rPr>
        <w:t xml:space="preserve">Un modello simile, più condivisibile è relativo all’Autorità portuale. </w:t>
      </w:r>
    </w:p>
    <w:p w14:paraId="062F6E24" w14:textId="77777777" w:rsidR="00DD3AEC" w:rsidRPr="00DD3AEC" w:rsidRDefault="00DD3AEC" w:rsidP="00DD3AEC">
      <w:pPr>
        <w:spacing w:after="240"/>
        <w:rPr>
          <w:rFonts w:ascii="Bookman Old Style" w:eastAsia="Times New Roman" w:hAnsi="Bookman Old Style"/>
          <w:u w:val="single"/>
        </w:rPr>
      </w:pPr>
      <w:r w:rsidRPr="00DD3AEC">
        <w:rPr>
          <w:rFonts w:ascii="Bookman Old Style" w:eastAsia="Times New Roman" w:hAnsi="Bookman Old Style"/>
          <w:u w:val="single"/>
        </w:rPr>
        <w:t xml:space="preserve">ANCI considera in ogni caso necessario – alla luce delle attuali disposizioni – fare chiarezza normativa e regolatoria sulle CER/CEL. </w:t>
      </w:r>
    </w:p>
    <w:p w14:paraId="64A11825" w14:textId="00F5739B" w:rsidR="00DD3AEC" w:rsidRPr="00DD3AEC" w:rsidRDefault="00DD3AEC" w:rsidP="00DD3AEC">
      <w:pPr>
        <w:numPr>
          <w:ilvl w:val="0"/>
          <w:numId w:val="9"/>
        </w:numPr>
        <w:spacing w:after="240" w:line="259" w:lineRule="auto"/>
        <w:jc w:val="left"/>
        <w:rPr>
          <w:rFonts w:ascii="Bookman Old Style" w:hAnsi="Bookman Old Style"/>
          <w:b/>
          <w:bCs/>
          <w:color w:val="002060"/>
        </w:rPr>
      </w:pPr>
      <w:r w:rsidRPr="00DD3AEC">
        <w:rPr>
          <w:rFonts w:ascii="Bookman Old Style" w:hAnsi="Bookman Old Style"/>
          <w:b/>
          <w:bCs/>
          <w:color w:val="002060"/>
        </w:rPr>
        <w:t>Disposizioni in materia di VIA</w:t>
      </w:r>
      <w:r w:rsidR="00D46395" w:rsidRPr="00B309F9">
        <w:rPr>
          <w:rFonts w:ascii="Bookman Old Style" w:hAnsi="Bookman Old Style"/>
          <w:b/>
          <w:bCs/>
          <w:color w:val="002060"/>
        </w:rPr>
        <w:t xml:space="preserve"> </w:t>
      </w:r>
      <w:r w:rsidR="00B309F9" w:rsidRPr="00B309F9">
        <w:rPr>
          <w:rFonts w:ascii="Bookman Old Style" w:hAnsi="Bookman Old Style"/>
          <w:b/>
          <w:bCs/>
          <w:color w:val="002060"/>
        </w:rPr>
        <w:t>(</w:t>
      </w:r>
      <w:r w:rsidR="00D46395" w:rsidRPr="00DD3AEC">
        <w:rPr>
          <w:rFonts w:ascii="Bookman Old Style" w:hAnsi="Bookman Old Style"/>
          <w:b/>
          <w:bCs/>
          <w:color w:val="002060"/>
        </w:rPr>
        <w:t>Art. 10</w:t>
      </w:r>
      <w:r w:rsidR="00B309F9" w:rsidRPr="00B309F9">
        <w:rPr>
          <w:rFonts w:ascii="Bookman Old Style" w:hAnsi="Bookman Old Style"/>
          <w:b/>
          <w:bCs/>
          <w:color w:val="002060"/>
        </w:rPr>
        <w:t>)</w:t>
      </w:r>
    </w:p>
    <w:p w14:paraId="13281EB5" w14:textId="3FD4525E" w:rsidR="00DD3AEC" w:rsidRPr="00DD3AEC" w:rsidRDefault="00DD3AEC" w:rsidP="00DD3AEC">
      <w:pPr>
        <w:spacing w:after="240"/>
        <w:rPr>
          <w:rFonts w:ascii="Bookman Old Style" w:eastAsia="Times New Roman" w:hAnsi="Bookman Old Style"/>
        </w:rPr>
      </w:pPr>
      <w:r w:rsidRPr="00DD3AEC">
        <w:rPr>
          <w:rFonts w:ascii="Bookman Old Style" w:eastAsia="Times New Roman" w:hAnsi="Bookman Old Style"/>
        </w:rPr>
        <w:t>La disposizione vuole modificare l’attuale organizzazione procedimentale in base a cui il Ministero della cultura è messo in condizione di prendere visione della documentazione presentata dal proponente dopo la conclusione della fase di verifica documentale riservata al Ministero della transizione ecologica, a cui però può seguire una richiesta integrativa della stessa sotto il profilo naturalistico.  Invece la norma vuole distinguere nettamente e ulteriormente i momenti in cui il Ministero della Cultura interviene nella valutazione. A</w:t>
      </w:r>
      <w:r w:rsidR="00E85374">
        <w:rPr>
          <w:rFonts w:ascii="Bookman Old Style" w:eastAsia="Times New Roman" w:hAnsi="Bookman Old Style"/>
        </w:rPr>
        <w:t>d avviso di ANCI</w:t>
      </w:r>
      <w:r w:rsidRPr="00DD3AEC">
        <w:rPr>
          <w:rFonts w:ascii="Bookman Old Style" w:eastAsia="Times New Roman" w:hAnsi="Bookman Old Style"/>
        </w:rPr>
        <w:t xml:space="preserve"> al contrario è importante mantenere unitarietà di analisi e valutazione, anche temporalmente, migliorando al contempo la cooperazione tra i Ministeri che potrebbero </w:t>
      </w:r>
      <w:r w:rsidRPr="00DD3AEC">
        <w:rPr>
          <w:rFonts w:ascii="Bookman Old Style" w:eastAsia="Times New Roman" w:hAnsi="Bookman Old Style"/>
          <w:u w:val="single"/>
        </w:rPr>
        <w:t xml:space="preserve">costituire una Cabina di Valutazione per la VIA unitaria, proprio per facilitare lo scambio di informazioni, la contemporaneità di apporto delle competenze diverse, senza di fatto imputare un ruolo di primo livello al MITE, dialogante con i proponenti, e di subordine alla Cultura. Entrambi gli approcci è fondamentale cooperino nello stesso momento, soprattutto nel dialogo con gli investitori privati. Questo aspetto è stato in questi giorni oggetto di una consultazione pubblica dei soggetti istituzionali, tra cui ANCI, sul </w:t>
      </w:r>
      <w:proofErr w:type="spellStart"/>
      <w:r w:rsidRPr="00DD3AEC">
        <w:rPr>
          <w:rFonts w:ascii="Bookman Old Style" w:eastAsia="Times New Roman" w:hAnsi="Bookman Old Style"/>
          <w:u w:val="single"/>
        </w:rPr>
        <w:t>permitting</w:t>
      </w:r>
      <w:proofErr w:type="spellEnd"/>
      <w:r w:rsidRPr="00DD3AEC">
        <w:rPr>
          <w:rFonts w:ascii="Bookman Old Style" w:eastAsia="Times New Roman" w:hAnsi="Bookman Old Style"/>
          <w:u w:val="single"/>
        </w:rPr>
        <w:t>/iter autorizzativo verso la Commissione Europea.</w:t>
      </w:r>
      <w:r w:rsidRPr="00DD3AEC">
        <w:rPr>
          <w:rFonts w:ascii="Bookman Old Style" w:eastAsia="Times New Roman" w:hAnsi="Bookman Old Style"/>
        </w:rPr>
        <w:t xml:space="preserve"> </w:t>
      </w:r>
    </w:p>
    <w:p w14:paraId="052EC260" w14:textId="77777777" w:rsidR="00DD3AEC" w:rsidRPr="00DD3AEC" w:rsidRDefault="00DD3AEC" w:rsidP="00DD3AEC">
      <w:pPr>
        <w:spacing w:after="240"/>
        <w:rPr>
          <w:rFonts w:ascii="Bookman Old Style" w:eastAsia="Times New Roman" w:hAnsi="Bookman Old Style"/>
        </w:rPr>
      </w:pPr>
    </w:p>
    <w:p w14:paraId="6DE38E53" w14:textId="0E1D1CD6" w:rsidR="00DD3AEC" w:rsidRPr="00DD3AEC" w:rsidRDefault="00DD3AEC" w:rsidP="00DD3AEC">
      <w:pPr>
        <w:numPr>
          <w:ilvl w:val="0"/>
          <w:numId w:val="9"/>
        </w:numPr>
        <w:spacing w:after="240" w:line="259" w:lineRule="auto"/>
        <w:jc w:val="left"/>
        <w:rPr>
          <w:rFonts w:ascii="Bookman Old Style" w:hAnsi="Bookman Old Style"/>
          <w:b/>
          <w:bCs/>
          <w:color w:val="002060"/>
        </w:rPr>
      </w:pPr>
      <w:r w:rsidRPr="00DD3AEC">
        <w:rPr>
          <w:rFonts w:ascii="Bookman Old Style" w:hAnsi="Bookman Old Style"/>
          <w:b/>
          <w:bCs/>
          <w:color w:val="002060"/>
        </w:rPr>
        <w:t>Disposizioni in materia di autorizzazione unica ambientale degli impianti di produzione di energia da fonti fossili</w:t>
      </w:r>
      <w:r w:rsidR="00D46395" w:rsidRPr="00EE4002">
        <w:rPr>
          <w:rFonts w:ascii="Bookman Old Style" w:hAnsi="Bookman Old Style"/>
          <w:b/>
          <w:bCs/>
          <w:color w:val="002060"/>
        </w:rPr>
        <w:t xml:space="preserve"> </w:t>
      </w:r>
      <w:r w:rsidR="00EE4002">
        <w:rPr>
          <w:rFonts w:ascii="Bookman Old Style" w:hAnsi="Bookman Old Style"/>
          <w:b/>
          <w:bCs/>
          <w:color w:val="002060"/>
        </w:rPr>
        <w:t>(Art. 12)</w:t>
      </w:r>
    </w:p>
    <w:p w14:paraId="4DD801DC" w14:textId="77777777" w:rsidR="00DD3AEC" w:rsidRPr="00DD3AEC" w:rsidRDefault="00DD3AEC" w:rsidP="00AF15C5">
      <w:pPr>
        <w:spacing w:after="240"/>
        <w:rPr>
          <w:rFonts w:ascii="Bookman Old Style" w:eastAsia="Times New Roman" w:hAnsi="Bookman Old Style"/>
        </w:rPr>
      </w:pPr>
      <w:r w:rsidRPr="00DD3AEC">
        <w:rPr>
          <w:rFonts w:ascii="Bookman Old Style" w:eastAsia="Times New Roman" w:hAnsi="Bookman Old Style"/>
        </w:rPr>
        <w:t>La norma, vista la situazione eccezionale, prevede una semplificazione dell’autorizzazione unica ambientale per gli impianti fossili (a carbone e ad olio), con deroghe di sei mesi in sei mesi, comunque nel rispetto dei valori limite dei piani qualità aria.</w:t>
      </w:r>
    </w:p>
    <w:p w14:paraId="72CC2A90" w14:textId="53FF54A1" w:rsidR="00DD3AEC" w:rsidRPr="00DD3AEC" w:rsidRDefault="00DD3AEC" w:rsidP="0099220A">
      <w:pPr>
        <w:numPr>
          <w:ilvl w:val="0"/>
          <w:numId w:val="9"/>
        </w:numPr>
        <w:spacing w:after="240" w:line="259" w:lineRule="auto"/>
        <w:rPr>
          <w:rFonts w:ascii="Bookman Old Style" w:hAnsi="Bookman Old Style"/>
          <w:b/>
          <w:bCs/>
          <w:color w:val="002060"/>
        </w:rPr>
      </w:pPr>
      <w:r w:rsidRPr="00DD3AEC">
        <w:rPr>
          <w:rFonts w:ascii="Bookman Old Style" w:hAnsi="Bookman Old Style"/>
          <w:b/>
          <w:bCs/>
          <w:color w:val="002060"/>
        </w:rPr>
        <w:t>Modifiche alla disciplina in materia di incentivi per l’efficienza energetica, sisma bonus, fotovoltaico e colonnine di ricarica di veicoli elettrici</w:t>
      </w:r>
      <w:r w:rsidR="00D46395" w:rsidRPr="0099220A">
        <w:rPr>
          <w:rFonts w:ascii="Bookman Old Style" w:hAnsi="Bookman Old Style"/>
          <w:b/>
          <w:bCs/>
          <w:color w:val="002060"/>
        </w:rPr>
        <w:t xml:space="preserve"> </w:t>
      </w:r>
      <w:r w:rsidR="0099220A">
        <w:rPr>
          <w:rFonts w:ascii="Bookman Old Style" w:hAnsi="Bookman Old Style"/>
          <w:b/>
          <w:bCs/>
          <w:color w:val="002060"/>
        </w:rPr>
        <w:t>(Art. 14)</w:t>
      </w:r>
    </w:p>
    <w:p w14:paraId="1D89C7C2" w14:textId="10BE2B4E" w:rsidR="00DD3AEC" w:rsidRDefault="00DD3AEC" w:rsidP="00AF15C5">
      <w:pPr>
        <w:spacing w:after="240"/>
        <w:rPr>
          <w:rFonts w:ascii="Bookman Old Style" w:eastAsia="Times New Roman" w:hAnsi="Bookman Old Style"/>
        </w:rPr>
      </w:pPr>
      <w:r w:rsidRPr="00DD3AEC">
        <w:rPr>
          <w:rFonts w:ascii="Bookman Old Style" w:eastAsia="Times New Roman" w:hAnsi="Bookman Old Style"/>
        </w:rPr>
        <w:t>La norma interviene nella disciplina del cd Super bonus 110% modificando il termine relativo alla condizione per poter fruire della misura agevolativa per i lavori effettuati sulle unità unifamiliari per le persone fisiche. In particolare, la legislazione vigente prevede che la detrazione del 110 per cento spetta per le spese sostenute entro il 31 dicembre 2022, a condizione che alla data del 30 giugno 2022 siano effettuati lavori per almeno il 30 per cento dell'intervento complessivo. Tale termine viene differito al 30 settembre 2022.</w:t>
      </w:r>
    </w:p>
    <w:p w14:paraId="6A8FFF10" w14:textId="3138FDB4" w:rsidR="0064095F" w:rsidRDefault="0064095F" w:rsidP="00DD3AEC">
      <w:pPr>
        <w:spacing w:after="240"/>
        <w:ind w:left="360"/>
        <w:rPr>
          <w:rFonts w:ascii="Bookman Old Style" w:eastAsia="Times New Roman" w:hAnsi="Bookman Old Style"/>
        </w:rPr>
      </w:pPr>
    </w:p>
    <w:p w14:paraId="4FEA8EFD" w14:textId="77777777" w:rsidR="00042EA5" w:rsidRPr="00EC2721" w:rsidRDefault="00042EA5" w:rsidP="00042EA5">
      <w:pPr>
        <w:spacing w:line="252" w:lineRule="auto"/>
        <w:contextualSpacing/>
        <w:rPr>
          <w:rFonts w:ascii="Bookman Old Style" w:hAnsi="Bookman Old Style"/>
          <w:b/>
          <w:bCs/>
          <w:color w:val="002060"/>
        </w:rPr>
      </w:pPr>
      <w:r w:rsidRPr="00EC2721">
        <w:rPr>
          <w:rFonts w:ascii="Bookman Old Style" w:hAnsi="Bookman Old Style"/>
          <w:b/>
          <w:bCs/>
          <w:color w:val="002060"/>
        </w:rPr>
        <w:lastRenderedPageBreak/>
        <w:t>MISURE PER LA RIPRESA ECONOMICA, LA PRODUTTIVITA’ DELLE IMPRESE E L’ATTRAZIONE DI INVESTIMENTI</w:t>
      </w:r>
    </w:p>
    <w:p w14:paraId="747C7146" w14:textId="77777777" w:rsidR="00042EA5" w:rsidRPr="00EC2721" w:rsidRDefault="00042EA5" w:rsidP="00042EA5">
      <w:pPr>
        <w:spacing w:line="252" w:lineRule="auto"/>
        <w:contextualSpacing/>
        <w:rPr>
          <w:rFonts w:ascii="Bookman Old Style" w:hAnsi="Bookman Old Style"/>
          <w:b/>
          <w:bCs/>
          <w:color w:val="002060"/>
        </w:rPr>
      </w:pPr>
    </w:p>
    <w:p w14:paraId="6A7CA623" w14:textId="77777777" w:rsidR="00901D91" w:rsidRDefault="00901D91" w:rsidP="00901D91">
      <w:pPr>
        <w:pStyle w:val="Paragrafoelenco"/>
        <w:numPr>
          <w:ilvl w:val="0"/>
          <w:numId w:val="13"/>
        </w:numPr>
        <w:spacing w:after="0" w:line="252" w:lineRule="auto"/>
        <w:rPr>
          <w:rFonts w:ascii="Bookman Old Style" w:hAnsi="Bookman Old Style" w:cs="Times New Roman"/>
          <w:b/>
          <w:bCs/>
          <w:color w:val="002060"/>
          <w:sz w:val="24"/>
          <w:szCs w:val="24"/>
        </w:rPr>
      </w:pPr>
      <w:r>
        <w:rPr>
          <w:rFonts w:ascii="Bookman Old Style" w:hAnsi="Bookman Old Style"/>
          <w:b/>
          <w:bCs/>
          <w:color w:val="002060"/>
        </w:rPr>
        <w:t>Disposizioni urgenti in materia di appalti pubblici di lavori (Art. 26)</w:t>
      </w:r>
    </w:p>
    <w:p w14:paraId="1F167EB1" w14:textId="77777777" w:rsidR="00AF15C5" w:rsidRDefault="00AF15C5" w:rsidP="00FB42E8">
      <w:pPr>
        <w:rPr>
          <w:rFonts w:ascii="Bookman Old Style" w:hAnsi="Bookman Old Style"/>
          <w:color w:val="000000"/>
          <w:spacing w:val="-3"/>
        </w:rPr>
      </w:pPr>
    </w:p>
    <w:p w14:paraId="4AFE7CF5" w14:textId="469361AA" w:rsidR="00901D91" w:rsidRDefault="00901D91" w:rsidP="00FB42E8">
      <w:pPr>
        <w:rPr>
          <w:rFonts w:ascii="Bookman Old Style" w:hAnsi="Bookman Old Style" w:cs="Times New Roman"/>
          <w:color w:val="000000"/>
          <w:spacing w:val="-3"/>
          <w:sz w:val="24"/>
          <w:szCs w:val="24"/>
        </w:rPr>
      </w:pPr>
      <w:r>
        <w:rPr>
          <w:rFonts w:ascii="Bookman Old Style" w:hAnsi="Bookman Old Style"/>
          <w:color w:val="000000"/>
          <w:spacing w:val="-3"/>
        </w:rPr>
        <w:t xml:space="preserve">Per fronteggiare </w:t>
      </w:r>
      <w:r>
        <w:rPr>
          <w:rFonts w:ascii="Bookman Old Style" w:hAnsi="Bookman Old Style"/>
          <w:b/>
          <w:bCs/>
          <w:color w:val="000000"/>
          <w:spacing w:val="-3"/>
        </w:rPr>
        <w:t>gli aumenti eccezionali dei prezzi dei materiali da costruzione</w:t>
      </w:r>
      <w:r>
        <w:rPr>
          <w:rFonts w:ascii="Bookman Old Style" w:hAnsi="Bookman Old Style"/>
          <w:color w:val="000000"/>
          <w:spacing w:val="-3"/>
        </w:rPr>
        <w:t>, nonché dei carburanti e dei prodotti energetici, in relazione agli</w:t>
      </w:r>
      <w:r>
        <w:rPr>
          <w:rFonts w:ascii="Bookman Old Style" w:hAnsi="Bookman Old Style"/>
          <w:b/>
          <w:bCs/>
          <w:color w:val="000000"/>
          <w:spacing w:val="-3"/>
        </w:rPr>
        <w:t xml:space="preserve"> appalti pubblici di lavori</w:t>
      </w:r>
      <w:r>
        <w:rPr>
          <w:rFonts w:ascii="Bookman Old Style" w:hAnsi="Bookman Old Style"/>
          <w:color w:val="000000"/>
          <w:spacing w:val="-3"/>
        </w:rPr>
        <w:t xml:space="preserve">, aggiudicati sulla base di offerte, con termine finale di presentazione </w:t>
      </w:r>
      <w:r>
        <w:rPr>
          <w:rFonts w:ascii="Bookman Old Style" w:hAnsi="Bookman Old Style"/>
          <w:b/>
          <w:bCs/>
          <w:color w:val="000000"/>
          <w:spacing w:val="-3"/>
        </w:rPr>
        <w:t>entro il 31 dicembre 2021</w:t>
      </w:r>
      <w:r>
        <w:rPr>
          <w:rFonts w:ascii="Bookman Old Style" w:hAnsi="Bookman Old Style"/>
          <w:color w:val="000000"/>
          <w:spacing w:val="-3"/>
        </w:rPr>
        <w:t xml:space="preserve">, </w:t>
      </w:r>
      <w:r>
        <w:rPr>
          <w:rFonts w:ascii="Bookman Old Style" w:hAnsi="Bookman Old Style"/>
          <w:b/>
          <w:bCs/>
          <w:color w:val="000000"/>
          <w:spacing w:val="-3"/>
          <w:u w:val="single"/>
        </w:rPr>
        <w:t>lo stato di avanzamento dei lavori afferente alle lavorazioni eseguite dal 1 gennaio 2022 al 31 dicembre 2022</w:t>
      </w:r>
      <w:r>
        <w:rPr>
          <w:rFonts w:ascii="Bookman Old Style" w:hAnsi="Bookman Old Style"/>
          <w:color w:val="000000"/>
          <w:spacing w:val="-3"/>
        </w:rPr>
        <w:t xml:space="preserve">, viene adottato, anche in deroga alle specifiche clausole contrattuali, applicando le risultanze dei prezzari che le </w:t>
      </w:r>
      <w:r w:rsidR="00BD6FF4">
        <w:rPr>
          <w:rFonts w:ascii="Bookman Old Style" w:hAnsi="Bookman Old Style"/>
          <w:color w:val="000000"/>
          <w:spacing w:val="-3"/>
        </w:rPr>
        <w:t>R</w:t>
      </w:r>
      <w:r>
        <w:rPr>
          <w:rFonts w:ascii="Bookman Old Style" w:hAnsi="Bookman Old Style"/>
          <w:color w:val="000000"/>
          <w:spacing w:val="-3"/>
        </w:rPr>
        <w:t xml:space="preserve">egioni devono aggiornare entro il </w:t>
      </w:r>
      <w:r w:rsidRPr="005005DE">
        <w:rPr>
          <w:rFonts w:ascii="Bookman Old Style" w:hAnsi="Bookman Old Style"/>
          <w:color w:val="000000"/>
          <w:spacing w:val="-3"/>
          <w:u w:val="single"/>
        </w:rPr>
        <w:t>31 luglio 2022</w:t>
      </w:r>
      <w:r>
        <w:rPr>
          <w:rFonts w:ascii="Bookman Old Style" w:hAnsi="Bookman Old Style"/>
          <w:color w:val="000000"/>
          <w:spacing w:val="-3"/>
        </w:rPr>
        <w:t xml:space="preserve"> (aggiornamento </w:t>
      </w:r>
      <w:proofErr w:type="spellStart"/>
      <w:r>
        <w:rPr>
          <w:rFonts w:ascii="Bookman Old Style" w:hAnsi="Bookman Old Style"/>
          <w:color w:val="000000"/>
          <w:spacing w:val="-3"/>
        </w:rPr>
        <w:t>infrannuale</w:t>
      </w:r>
      <w:proofErr w:type="spellEnd"/>
      <w:r>
        <w:rPr>
          <w:rFonts w:ascii="Bookman Old Style" w:hAnsi="Bookman Old Style"/>
          <w:color w:val="000000"/>
          <w:spacing w:val="-3"/>
        </w:rPr>
        <w:t xml:space="preserve"> per il solo 2022), fermo restando i ribassi presentati in sede di offerta.</w:t>
      </w:r>
    </w:p>
    <w:p w14:paraId="200CA097" w14:textId="77777777" w:rsidR="00901D91" w:rsidRDefault="00901D91" w:rsidP="00FB42E8">
      <w:pPr>
        <w:rPr>
          <w:rFonts w:ascii="Bookman Old Style" w:hAnsi="Bookman Old Style"/>
          <w:color w:val="000000"/>
          <w:spacing w:val="-3"/>
        </w:rPr>
      </w:pPr>
      <w:r>
        <w:rPr>
          <w:rFonts w:ascii="Bookman Old Style" w:hAnsi="Bookman Old Style"/>
          <w:color w:val="000000"/>
          <w:spacing w:val="-3"/>
        </w:rPr>
        <w:t>Tali prezzari rimarranno validi fino al 31 dicembre 2022 e potranno essere transitoriamente utilizzati fino al 31 marzo 2023 per i progetti a base di gara la cui approvazione sia intervenuta entro tale data.</w:t>
      </w:r>
    </w:p>
    <w:p w14:paraId="1F7995AD" w14:textId="77777777" w:rsidR="00901D91" w:rsidRDefault="00901D91" w:rsidP="00FB42E8">
      <w:pPr>
        <w:rPr>
          <w:rFonts w:ascii="Bookman Old Style" w:hAnsi="Bookman Old Style"/>
          <w:color w:val="000000"/>
          <w:spacing w:val="-3"/>
        </w:rPr>
      </w:pPr>
      <w:r>
        <w:rPr>
          <w:rFonts w:ascii="Bookman Old Style" w:hAnsi="Bookman Old Style"/>
          <w:color w:val="000000"/>
          <w:spacing w:val="-3"/>
        </w:rPr>
        <w:t>Qualora il prezzario non sia stato ancora aggiornato alla data del 15/7/2022, le SA applicheranno subito </w:t>
      </w:r>
      <w:r>
        <w:rPr>
          <w:rFonts w:ascii="Bookman Old Style" w:hAnsi="Bookman Old Style"/>
          <w:b/>
          <w:bCs/>
          <w:spacing w:val="-3"/>
        </w:rPr>
        <w:t>un aumento del 20% al costo</w:t>
      </w:r>
      <w:r>
        <w:rPr>
          <w:rFonts w:ascii="Bookman Old Style" w:hAnsi="Bookman Old Style"/>
          <w:color w:val="000000"/>
          <w:spacing w:val="-3"/>
        </w:rPr>
        <w:t> dei prodotti, delle attrezzature e delle lavorazioni rispetto ai prezzari regionali al 31 dicembre 2021. I maggiori importi che ne derivano sono riconosciuti al 90% dalla stazione appaltante.</w:t>
      </w:r>
    </w:p>
    <w:p w14:paraId="166FD901" w14:textId="77777777" w:rsidR="00901D91" w:rsidRDefault="00901D91" w:rsidP="00901D91">
      <w:pPr>
        <w:pStyle w:val="NormaleWeb"/>
        <w:spacing w:before="0" w:beforeAutospacing="0" w:after="0" w:afterAutospacing="0"/>
        <w:jc w:val="both"/>
        <w:rPr>
          <w:rFonts w:ascii="Bookman Old Style" w:hAnsi="Bookman Old Style"/>
          <w:color w:val="000000"/>
          <w:spacing w:val="-3"/>
        </w:rPr>
      </w:pPr>
      <w:r>
        <w:rPr>
          <w:rFonts w:ascii="Bookman Old Style" w:hAnsi="Bookman Old Style"/>
          <w:color w:val="000000"/>
          <w:spacing w:val="-3"/>
        </w:rPr>
        <w:t xml:space="preserve">Per le </w:t>
      </w:r>
      <w:r>
        <w:rPr>
          <w:rFonts w:ascii="Bookman Old Style" w:hAnsi="Bookman Old Style"/>
          <w:b/>
          <w:bCs/>
          <w:color w:val="000000"/>
          <w:spacing w:val="-3"/>
        </w:rPr>
        <w:t>lavorazioni effettuate tra il 1° gennaio 2022 e il 18 maggio 2022 (data di entrata in vigore del decreto)</w:t>
      </w:r>
      <w:r>
        <w:rPr>
          <w:rFonts w:ascii="Bookman Old Style" w:hAnsi="Bookman Old Style"/>
          <w:color w:val="000000"/>
          <w:spacing w:val="-3"/>
        </w:rPr>
        <w:t xml:space="preserve">, la SA emette, entro 30 gg, un </w:t>
      </w:r>
      <w:r>
        <w:rPr>
          <w:rFonts w:ascii="Bookman Old Style" w:hAnsi="Bookman Old Style"/>
          <w:b/>
          <w:bCs/>
          <w:color w:val="000000"/>
          <w:spacing w:val="-3"/>
        </w:rPr>
        <w:t>c</w:t>
      </w:r>
      <w:r>
        <w:rPr>
          <w:rFonts w:ascii="Bookman Old Style" w:hAnsi="Bookman Old Style"/>
          <w:b/>
          <w:bCs/>
          <w:spacing w:val="-3"/>
        </w:rPr>
        <w:t>ertificato di pagamento straordinario</w:t>
      </w:r>
      <w:r>
        <w:rPr>
          <w:rFonts w:ascii="Bookman Old Style" w:hAnsi="Bookman Old Style"/>
          <w:color w:val="000000"/>
          <w:spacing w:val="-3"/>
        </w:rPr>
        <w:t> con l’evidenza dell’acconto per le lavorazioni effettuate e contabilizzate da tale data.</w:t>
      </w:r>
    </w:p>
    <w:p w14:paraId="5BE4B5F5" w14:textId="77777777" w:rsidR="00901D91" w:rsidRDefault="00901D91" w:rsidP="00901D91">
      <w:pPr>
        <w:shd w:val="clear" w:color="auto" w:fill="FFFFFF"/>
        <w:rPr>
          <w:rFonts w:ascii="Bookman Old Style" w:hAnsi="Bookman Old Style"/>
          <w:color w:val="000000"/>
          <w:spacing w:val="-3"/>
        </w:rPr>
      </w:pPr>
      <w:r>
        <w:rPr>
          <w:rFonts w:ascii="Bookman Old Style" w:hAnsi="Bookman Old Style"/>
          <w:color w:val="000000"/>
          <w:spacing w:val="-3"/>
        </w:rPr>
        <w:t xml:space="preserve">In caso di insufficienza di risorse della SA (rilevabili dal QE), sono utilizzabili, </w:t>
      </w:r>
      <w:r>
        <w:rPr>
          <w:rFonts w:ascii="Bookman Old Style" w:hAnsi="Bookman Old Style"/>
          <w:b/>
          <w:bCs/>
          <w:color w:val="000000"/>
          <w:spacing w:val="-3"/>
        </w:rPr>
        <w:t>quali importi limite complessivi:</w:t>
      </w:r>
    </w:p>
    <w:p w14:paraId="7025537D" w14:textId="77777777" w:rsidR="00901D91" w:rsidRPr="00901D91" w:rsidRDefault="00901D91" w:rsidP="00901D91">
      <w:pPr>
        <w:pStyle w:val="Paragrafoelenco"/>
        <w:numPr>
          <w:ilvl w:val="0"/>
          <w:numId w:val="14"/>
        </w:numPr>
        <w:shd w:val="clear" w:color="auto" w:fill="FFFFFF"/>
        <w:spacing w:after="0" w:line="240" w:lineRule="auto"/>
        <w:rPr>
          <w:rFonts w:ascii="Bookman Old Style" w:hAnsi="Bookman Old Style"/>
          <w:color w:val="000000"/>
          <w:spacing w:val="-3"/>
        </w:rPr>
      </w:pPr>
      <w:r>
        <w:rPr>
          <w:rFonts w:ascii="Bookman Old Style" w:hAnsi="Bookman Old Style"/>
          <w:b/>
          <w:bCs/>
          <w:color w:val="000000"/>
          <w:spacing w:val="-3"/>
        </w:rPr>
        <w:t xml:space="preserve">1,2 miliardi di euro per l’anno </w:t>
      </w:r>
      <w:r w:rsidRPr="00901D91">
        <w:rPr>
          <w:rFonts w:ascii="Bookman Old Style" w:hAnsi="Bookman Old Style"/>
          <w:b/>
          <w:bCs/>
          <w:color w:val="000000"/>
          <w:spacing w:val="-3"/>
        </w:rPr>
        <w:t>2022 (di cui 200 mln stanziati dal dl 21/2022) e 500 milioni di euro per l’anno 2023</w:t>
      </w:r>
      <w:r w:rsidRPr="00901D91">
        <w:rPr>
          <w:rFonts w:ascii="Bookman Old Style" w:hAnsi="Bookman Old Style"/>
          <w:color w:val="000000"/>
          <w:spacing w:val="-3"/>
        </w:rPr>
        <w:t xml:space="preserve"> per lavori a valere su </w:t>
      </w:r>
      <w:r w:rsidRPr="00901D91">
        <w:rPr>
          <w:rFonts w:ascii="Bookman Old Style" w:hAnsi="Bookman Old Style"/>
          <w:b/>
          <w:bCs/>
          <w:color w:val="000000"/>
          <w:spacing w:val="-3"/>
          <w:u w:val="single"/>
        </w:rPr>
        <w:t>risorse PNRR e PNC o affidate a Commissari</w:t>
      </w:r>
      <w:r w:rsidRPr="00901D91">
        <w:rPr>
          <w:rFonts w:ascii="Bookman Old Style" w:hAnsi="Bookman Old Style"/>
          <w:color w:val="000000"/>
          <w:spacing w:val="-3"/>
        </w:rPr>
        <w:t xml:space="preserve"> (fondo ex art. 7 del dl 76/2020);</w:t>
      </w:r>
    </w:p>
    <w:p w14:paraId="6300DA4B" w14:textId="77777777" w:rsidR="00901D91" w:rsidRPr="00901D91" w:rsidRDefault="00901D91" w:rsidP="00901D91">
      <w:pPr>
        <w:pStyle w:val="Paragrafoelenco"/>
        <w:numPr>
          <w:ilvl w:val="0"/>
          <w:numId w:val="14"/>
        </w:numPr>
        <w:shd w:val="clear" w:color="auto" w:fill="FFFFFF"/>
        <w:spacing w:after="0" w:line="240" w:lineRule="auto"/>
        <w:rPr>
          <w:rFonts w:ascii="Bookman Old Style" w:hAnsi="Bookman Old Style"/>
          <w:color w:val="000000"/>
          <w:spacing w:val="-3"/>
        </w:rPr>
      </w:pPr>
      <w:r w:rsidRPr="00901D91">
        <w:rPr>
          <w:rFonts w:ascii="Bookman Old Style" w:hAnsi="Bookman Old Style"/>
          <w:b/>
          <w:bCs/>
          <w:color w:val="000000"/>
          <w:spacing w:val="-3"/>
        </w:rPr>
        <w:t>770 milioni di euro per l’anno 2022 (di cui 270 mln stanziati dai dl 17/2022 e 21/2022) e 550 milioni di euro per l’anno 2023</w:t>
      </w:r>
      <w:r w:rsidRPr="00901D91">
        <w:rPr>
          <w:rFonts w:ascii="Bookman Old Style" w:hAnsi="Bookman Old Style"/>
          <w:color w:val="000000"/>
          <w:spacing w:val="-3"/>
        </w:rPr>
        <w:t xml:space="preserve"> in relazione agli </w:t>
      </w:r>
      <w:r w:rsidRPr="00901D91">
        <w:rPr>
          <w:rFonts w:ascii="Bookman Old Style" w:hAnsi="Bookman Old Style"/>
          <w:b/>
          <w:bCs/>
          <w:color w:val="000000"/>
          <w:spacing w:val="-3"/>
          <w:u w:val="single"/>
        </w:rPr>
        <w:t>interventi diversi</w:t>
      </w:r>
      <w:r w:rsidRPr="00901D91">
        <w:rPr>
          <w:rFonts w:ascii="Bookman Old Style" w:hAnsi="Bookman Old Style"/>
          <w:color w:val="000000"/>
          <w:spacing w:val="-3"/>
        </w:rPr>
        <w:t xml:space="preserve"> dai precedenti (fondo ex art. 1 </w:t>
      </w:r>
      <w:proofErr w:type="spellStart"/>
      <w:r w:rsidRPr="00901D91">
        <w:rPr>
          <w:rFonts w:ascii="Bookman Old Style" w:hAnsi="Bookman Old Style"/>
          <w:color w:val="000000"/>
          <w:spacing w:val="-3"/>
        </w:rPr>
        <w:t>septies</w:t>
      </w:r>
      <w:proofErr w:type="spellEnd"/>
      <w:r w:rsidRPr="00901D91">
        <w:rPr>
          <w:rFonts w:ascii="Bookman Old Style" w:hAnsi="Bookman Old Style"/>
          <w:color w:val="000000"/>
          <w:spacing w:val="-3"/>
        </w:rPr>
        <w:t xml:space="preserve"> del dl 73/2021).</w:t>
      </w:r>
    </w:p>
    <w:p w14:paraId="32C36110" w14:textId="77777777" w:rsidR="00901D91" w:rsidRDefault="00901D91" w:rsidP="00901D91">
      <w:pPr>
        <w:shd w:val="clear" w:color="auto" w:fill="FFFFFF"/>
        <w:rPr>
          <w:rFonts w:ascii="Bookman Old Style" w:hAnsi="Bookman Old Style"/>
          <w:color w:val="000000"/>
          <w:spacing w:val="-3"/>
        </w:rPr>
      </w:pPr>
      <w:r>
        <w:rPr>
          <w:rFonts w:ascii="Bookman Old Style" w:hAnsi="Bookman Old Style"/>
          <w:color w:val="000000"/>
          <w:spacing w:val="-3"/>
        </w:rPr>
        <w:t>In entrambi i casi, </w:t>
      </w:r>
      <w:r>
        <w:rPr>
          <w:rFonts w:ascii="Bookman Old Style" w:hAnsi="Bookman Old Style"/>
          <w:b/>
          <w:bCs/>
          <w:color w:val="000000"/>
          <w:spacing w:val="-3"/>
        </w:rPr>
        <w:t>le istanze di accesso ai Fondi</w:t>
      </w:r>
      <w:r>
        <w:rPr>
          <w:rFonts w:ascii="Bookman Old Style" w:hAnsi="Bookman Old Style"/>
          <w:color w:val="000000"/>
          <w:spacing w:val="-3"/>
        </w:rPr>
        <w:t> vanno presentate entro il 31 agosto 2022, per i SAL concernenti le lavorazioni eseguite e contabilizzate dal 1° gennaio 2022 e fino al 31 luglio 2022; entro il 31 gennaio 2023, relativamente ai SAL per interventi annotati dal 1° agosto 2022 e fino al 31 dicembre 2022.</w:t>
      </w:r>
    </w:p>
    <w:p w14:paraId="0C6F7949" w14:textId="77777777" w:rsidR="00901D91" w:rsidRDefault="00901D91" w:rsidP="00901D91">
      <w:pPr>
        <w:shd w:val="clear" w:color="auto" w:fill="FFFFFF"/>
        <w:rPr>
          <w:rFonts w:ascii="Bookman Old Style" w:hAnsi="Bookman Old Style"/>
          <w:color w:val="000000"/>
          <w:spacing w:val="-3"/>
        </w:rPr>
      </w:pPr>
      <w:r>
        <w:rPr>
          <w:rFonts w:ascii="Bookman Old Style" w:hAnsi="Bookman Old Style"/>
          <w:color w:val="000000"/>
          <w:spacing w:val="-3"/>
        </w:rPr>
        <w:t>La nuova norma istituisce presso il MEF, il</w:t>
      </w:r>
      <w:r>
        <w:rPr>
          <w:rFonts w:ascii="Bookman Old Style" w:hAnsi="Bookman Old Style"/>
          <w:b/>
          <w:bCs/>
          <w:color w:val="000000"/>
          <w:spacing w:val="-3"/>
        </w:rPr>
        <w:t xml:space="preserve"> nuovo “fondo per l’avvio di opere indifferibili”</w:t>
      </w:r>
      <w:r>
        <w:rPr>
          <w:b/>
          <w:bCs/>
          <w:color w:val="000000"/>
          <w:u w:val="single"/>
        </w:rPr>
        <w:t xml:space="preserve">, </w:t>
      </w:r>
      <w:r>
        <w:rPr>
          <w:rFonts w:ascii="Bookman Old Style" w:hAnsi="Bookman Old Style"/>
          <w:color w:val="000000"/>
          <w:spacing w:val="-3"/>
        </w:rPr>
        <w:t xml:space="preserve">con dotazione di </w:t>
      </w:r>
      <w:r>
        <w:rPr>
          <w:rFonts w:ascii="Bookman Old Style" w:hAnsi="Bookman Old Style"/>
          <w:b/>
          <w:bCs/>
          <w:color w:val="000000"/>
          <w:spacing w:val="-3"/>
        </w:rPr>
        <w:t>1,5 mld per il 2022, 1,7 mld di euro per il 2023, 1,5 mld annui per il 2024 e 2025 nonché 1,3 per il 2026</w:t>
      </w:r>
      <w:r>
        <w:rPr>
          <w:rFonts w:ascii="Bookman Old Style" w:hAnsi="Bookman Old Style"/>
          <w:color w:val="000000"/>
          <w:spacing w:val="-3"/>
        </w:rPr>
        <w:t>, per compensare gli aumenti dei prezzi dei materiali relativi</w:t>
      </w:r>
      <w:r>
        <w:rPr>
          <w:rFonts w:ascii="Bookman Old Style" w:hAnsi="Bookman Old Style"/>
          <w:b/>
          <w:bCs/>
          <w:color w:val="000000"/>
          <w:spacing w:val="-3"/>
          <w:u w:val="single"/>
        </w:rPr>
        <w:t xml:space="preserve"> agli interventi legati al PNRR, al PNC e ai Commissari Straordinari</w:t>
      </w:r>
      <w:r>
        <w:rPr>
          <w:rFonts w:ascii="Bookman Old Style" w:hAnsi="Bookman Old Style"/>
          <w:color w:val="000000"/>
          <w:spacing w:val="-3"/>
        </w:rPr>
        <w:t xml:space="preserve"> - avviati successivamente </w:t>
      </w:r>
      <w:r>
        <w:rPr>
          <w:rFonts w:ascii="Bookman Old Style" w:hAnsi="Bookman Old Style"/>
          <w:b/>
          <w:bCs/>
          <w:color w:val="000000"/>
          <w:spacing w:val="-3"/>
        </w:rPr>
        <w:t xml:space="preserve">al 18 maggio 2022 e fino al 31 dicembre 2022 </w:t>
      </w:r>
      <w:r>
        <w:rPr>
          <w:rFonts w:ascii="Bookman Old Style" w:hAnsi="Bookman Old Style"/>
          <w:color w:val="000000"/>
          <w:spacing w:val="-3"/>
        </w:rPr>
        <w:t>- da disciplinare con uno o più</w:t>
      </w:r>
      <w:r>
        <w:rPr>
          <w:rFonts w:ascii="Bookman Old Style" w:hAnsi="Bookman Old Style"/>
          <w:b/>
          <w:bCs/>
          <w:color w:val="000000"/>
          <w:spacing w:val="-3"/>
        </w:rPr>
        <w:t xml:space="preserve"> DPCM</w:t>
      </w:r>
      <w:r>
        <w:rPr>
          <w:rFonts w:ascii="Bookman Old Style" w:hAnsi="Bookman Old Style"/>
          <w:color w:val="000000"/>
          <w:spacing w:val="-3"/>
        </w:rPr>
        <w:t>, su proposta del Ministro dell’economia e delle finanze di concerto con il Ministro delle infrastrutture e della mobilità sostenibili</w:t>
      </w:r>
      <w:r>
        <w:rPr>
          <w:rFonts w:ascii="Bookman Old Style" w:hAnsi="Bookman Old Style"/>
          <w:b/>
          <w:bCs/>
          <w:color w:val="000000"/>
          <w:spacing w:val="-3"/>
        </w:rPr>
        <w:t>, da emanare entro il 4 luglio 2022</w:t>
      </w:r>
      <w:r>
        <w:rPr>
          <w:rFonts w:ascii="Bookman Old Style" w:hAnsi="Bookman Old Style"/>
          <w:color w:val="000000"/>
          <w:spacing w:val="-3"/>
        </w:rPr>
        <w:t>.</w:t>
      </w:r>
    </w:p>
    <w:p w14:paraId="2B8C8A29" w14:textId="77777777" w:rsidR="00901D91" w:rsidRDefault="00901D91" w:rsidP="00901D91">
      <w:pPr>
        <w:shd w:val="clear" w:color="auto" w:fill="FFFFFF"/>
        <w:rPr>
          <w:rFonts w:ascii="Bookman Old Style" w:hAnsi="Bookman Old Style"/>
          <w:color w:val="000000"/>
          <w:spacing w:val="-3"/>
        </w:rPr>
      </w:pPr>
      <w:r>
        <w:rPr>
          <w:rFonts w:ascii="Bookman Old Style" w:hAnsi="Bookman Old Style"/>
          <w:color w:val="000000"/>
          <w:spacing w:val="-3"/>
        </w:rPr>
        <w:t>Per fronteggiare il caro prezzi vengono quantificati complessivamente</w:t>
      </w:r>
      <w:r>
        <w:rPr>
          <w:color w:val="000000"/>
          <w:spacing w:val="-3"/>
        </w:rPr>
        <w:t xml:space="preserve"> </w:t>
      </w:r>
      <w:r>
        <w:rPr>
          <w:rFonts w:ascii="Bookman Old Style" w:hAnsi="Bookman Old Style"/>
          <w:color w:val="000000"/>
          <w:spacing w:val="-3"/>
        </w:rPr>
        <w:t>3 miliardi di euro nel 2022, 2,75 miliardi di euro nel 2023, 1,5 miliardi di euro per ciascuno degli anni dal 2024 al 2025 e 1,3 mld di euro per l’anno 2026.</w:t>
      </w:r>
    </w:p>
    <w:p w14:paraId="46295C9E" w14:textId="77777777" w:rsidR="00C21345" w:rsidRPr="00A37967" w:rsidRDefault="00C21345" w:rsidP="00A37967">
      <w:pPr>
        <w:pStyle w:val="NormaleWeb"/>
        <w:shd w:val="clear" w:color="auto" w:fill="FFFFFF"/>
        <w:spacing w:before="0" w:beforeAutospacing="0" w:after="0" w:afterAutospacing="0"/>
        <w:jc w:val="both"/>
        <w:textAlignment w:val="baseline"/>
        <w:rPr>
          <w:rFonts w:ascii="Bookman Old Style" w:hAnsi="Bookman Old Style" w:cs="Times New Roman"/>
          <w:b/>
          <w:bCs/>
          <w:u w:val="single"/>
        </w:rPr>
      </w:pPr>
      <w:r w:rsidRPr="00A37967">
        <w:rPr>
          <w:rFonts w:ascii="Bookman Old Style" w:hAnsi="Bookman Old Style" w:cs="Times New Roman"/>
          <w:b/>
          <w:bCs/>
          <w:u w:val="single"/>
        </w:rPr>
        <w:t>Considerate le nuove disposizioni procedurali la norma, infine, abroga la precedente procedura di compensazione per gli Accordi quadro prevista dall’articolo 29, comma 11 bis, del dl 4/2022 e quella relativa alla compensazione per la variazione dei prezzi per il 2022, di cui all’articolo 25 del dl 17/2022, in quest’ultimo caso salvaguardando solo gli incrementi dei fondi già stanziati per il medesimo anno (c. 9 e 10).</w:t>
      </w:r>
    </w:p>
    <w:p w14:paraId="3BD2FDE1" w14:textId="77777777" w:rsidR="00C21345" w:rsidRDefault="00C21345" w:rsidP="00C21345">
      <w:pPr>
        <w:pStyle w:val="NormaleWeb"/>
        <w:shd w:val="clear" w:color="auto" w:fill="FFFFFF"/>
        <w:spacing w:before="0" w:beforeAutospacing="0" w:after="0" w:afterAutospacing="0"/>
        <w:jc w:val="both"/>
        <w:textAlignment w:val="baseline"/>
        <w:rPr>
          <w:rFonts w:ascii="Times New Roman" w:hAnsi="Times New Roman" w:cs="Times New Roman"/>
          <w:b/>
          <w:bCs/>
          <w:i/>
          <w:iCs/>
          <w:spacing w:val="-3"/>
          <w:sz w:val="24"/>
          <w:szCs w:val="24"/>
        </w:rPr>
      </w:pPr>
    </w:p>
    <w:p w14:paraId="499D19EA" w14:textId="6C6CBB1A" w:rsidR="00901D91" w:rsidRDefault="00901D91" w:rsidP="00901D91">
      <w:pPr>
        <w:rPr>
          <w:rFonts w:ascii="Calibri" w:hAnsi="Calibri" w:cs="Calibri"/>
        </w:rPr>
      </w:pPr>
    </w:p>
    <w:p w14:paraId="2252B94D" w14:textId="77777777" w:rsidR="00A37967" w:rsidRDefault="00A37967" w:rsidP="00901D91">
      <w:pPr>
        <w:rPr>
          <w:rFonts w:ascii="Calibri" w:hAnsi="Calibri" w:cs="Calibri"/>
        </w:rPr>
      </w:pPr>
    </w:p>
    <w:p w14:paraId="17F53FE6" w14:textId="77777777" w:rsidR="00F14E64" w:rsidRDefault="00F14E64" w:rsidP="00F14E64">
      <w:pPr>
        <w:shd w:val="clear" w:color="auto" w:fill="FFFFFF"/>
        <w:rPr>
          <w:rFonts w:ascii="Bookman Old Style" w:hAnsi="Bookman Old Style"/>
          <w:b/>
          <w:bCs/>
          <w:color w:val="000000"/>
          <w:spacing w:val="-3"/>
        </w:rPr>
      </w:pPr>
    </w:p>
    <w:p w14:paraId="36A121AA" w14:textId="77777777" w:rsidR="00F14E64" w:rsidRDefault="00F14E64" w:rsidP="00F14E64">
      <w:pPr>
        <w:numPr>
          <w:ilvl w:val="0"/>
          <w:numId w:val="11"/>
        </w:numPr>
        <w:shd w:val="clear" w:color="auto" w:fill="FFFFFF"/>
        <w:textAlignment w:val="baseline"/>
        <w:rPr>
          <w:rFonts w:ascii="Bookman Old Style" w:eastAsia="Times New Roman" w:hAnsi="Bookman Old Style"/>
          <w:b/>
          <w:bCs/>
          <w:color w:val="002060"/>
        </w:rPr>
      </w:pPr>
      <w:r>
        <w:rPr>
          <w:rFonts w:ascii="Bookman Old Style" w:eastAsia="Times New Roman" w:hAnsi="Bookman Old Style"/>
          <w:b/>
          <w:bCs/>
          <w:color w:val="002060"/>
        </w:rPr>
        <w:t>Disposizioni urgenti in materia di concessioni di lavori (Art. 27)</w:t>
      </w:r>
    </w:p>
    <w:p w14:paraId="5E9538B1" w14:textId="77777777" w:rsidR="00F14E64" w:rsidRDefault="00F14E64" w:rsidP="00F14E64">
      <w:pPr>
        <w:pStyle w:val="NormaleWeb"/>
        <w:shd w:val="clear" w:color="auto" w:fill="FFFFFF"/>
        <w:spacing w:before="0" w:beforeAutospacing="0" w:after="0" w:afterAutospacing="0"/>
        <w:jc w:val="both"/>
        <w:textAlignment w:val="baseline"/>
        <w:rPr>
          <w:rFonts w:ascii="Bookman Old Style" w:hAnsi="Bookman Old Style"/>
          <w:color w:val="000000"/>
          <w:spacing w:val="-3"/>
        </w:rPr>
      </w:pPr>
    </w:p>
    <w:p w14:paraId="1DACD883" w14:textId="574FEC53" w:rsidR="00F14E64" w:rsidRDefault="00E85B9A" w:rsidP="00F14E64">
      <w:pPr>
        <w:pStyle w:val="NormaleWeb"/>
        <w:shd w:val="clear" w:color="auto" w:fill="FFFFFF"/>
        <w:spacing w:before="0" w:beforeAutospacing="0" w:after="0" w:afterAutospacing="0"/>
        <w:jc w:val="both"/>
        <w:textAlignment w:val="baseline"/>
        <w:rPr>
          <w:rFonts w:ascii="Bookman Old Style" w:hAnsi="Bookman Old Style"/>
          <w:spacing w:val="-3"/>
        </w:rPr>
      </w:pPr>
      <w:r>
        <w:rPr>
          <w:rFonts w:ascii="Bookman Old Style" w:hAnsi="Bookman Old Style"/>
          <w:color w:val="000000"/>
          <w:spacing w:val="-3"/>
        </w:rPr>
        <w:t>La n</w:t>
      </w:r>
      <w:r w:rsidR="00E91AD7">
        <w:rPr>
          <w:rFonts w:ascii="Bookman Old Style" w:hAnsi="Bookman Old Style"/>
          <w:color w:val="000000"/>
          <w:spacing w:val="-3"/>
        </w:rPr>
        <w:t>o</w:t>
      </w:r>
      <w:r>
        <w:rPr>
          <w:rFonts w:ascii="Bookman Old Style" w:hAnsi="Bookman Old Style"/>
          <w:color w:val="000000"/>
          <w:spacing w:val="-3"/>
        </w:rPr>
        <w:t>rma prevede che</w:t>
      </w:r>
      <w:r w:rsidR="00E91AD7">
        <w:rPr>
          <w:rFonts w:ascii="Bookman Old Style" w:hAnsi="Bookman Old Style"/>
          <w:color w:val="000000"/>
          <w:spacing w:val="-3"/>
        </w:rPr>
        <w:t>,</w:t>
      </w:r>
      <w:r>
        <w:rPr>
          <w:rFonts w:ascii="Bookman Old Style" w:hAnsi="Bookman Old Style"/>
          <w:color w:val="000000"/>
          <w:spacing w:val="-3"/>
        </w:rPr>
        <w:t xml:space="preserve"> p</w:t>
      </w:r>
      <w:r w:rsidR="00F14E64">
        <w:rPr>
          <w:rFonts w:ascii="Bookman Old Style" w:hAnsi="Bookman Old Style"/>
          <w:color w:val="000000"/>
          <w:spacing w:val="-3"/>
        </w:rPr>
        <w:t xml:space="preserve">er le </w:t>
      </w:r>
      <w:r w:rsidR="00F14E64">
        <w:rPr>
          <w:rFonts w:ascii="Bookman Old Style" w:hAnsi="Bookman Old Style"/>
          <w:b/>
          <w:bCs/>
          <w:color w:val="000000"/>
          <w:spacing w:val="-3"/>
        </w:rPr>
        <w:t>concessioni di lavori</w:t>
      </w:r>
      <w:r w:rsidR="00F14E64">
        <w:rPr>
          <w:rFonts w:ascii="Bookman Old Style" w:hAnsi="Bookman Old Style"/>
          <w:color w:val="000000"/>
          <w:spacing w:val="-3"/>
        </w:rPr>
        <w:t>, i concessionari autostradali</w:t>
      </w:r>
      <w:r w:rsidR="00F14E64">
        <w:rPr>
          <w:rFonts w:ascii="Times New Roman" w:hAnsi="Times New Roman" w:cs="Times New Roman"/>
          <w:color w:val="000000"/>
          <w:spacing w:val="-3"/>
          <w:sz w:val="24"/>
          <w:szCs w:val="24"/>
        </w:rPr>
        <w:t xml:space="preserve"> </w:t>
      </w:r>
      <w:r w:rsidR="00F14E64">
        <w:rPr>
          <w:rFonts w:ascii="Bookman Old Style" w:hAnsi="Bookman Old Style"/>
          <w:color w:val="000000"/>
          <w:spacing w:val="-3"/>
        </w:rPr>
        <w:t xml:space="preserve">possono procedere </w:t>
      </w:r>
      <w:r w:rsidR="00F14E64" w:rsidRPr="00F14E64">
        <w:rPr>
          <w:rFonts w:ascii="Bookman Old Style" w:hAnsi="Bookman Old Style"/>
          <w:color w:val="000000"/>
          <w:spacing w:val="-3"/>
        </w:rPr>
        <w:t>all’aggiornamento del quadro economico del progetto esecutivo, in corso di approvazione o approvato al 18 maggio 2022 (data di entrata in vigore del decreto), per il quale</w:t>
      </w:r>
      <w:r w:rsidR="00F14E64">
        <w:rPr>
          <w:rFonts w:ascii="Bookman Old Style" w:hAnsi="Bookman Old Style"/>
          <w:color w:val="000000"/>
          <w:spacing w:val="-3"/>
        </w:rPr>
        <w:t xml:space="preserve"> è previsto l’avvio delle procedure di affidamento entro il 31 dicembre 2023, utilizzando il prezziario di riferimento più aggiornato.</w:t>
      </w:r>
    </w:p>
    <w:p w14:paraId="541265E8" w14:textId="0F65C4DF" w:rsidR="00F14E64" w:rsidRDefault="00F14E64" w:rsidP="00F14E64">
      <w:pPr>
        <w:rPr>
          <w:rFonts w:ascii="Calibri" w:hAnsi="Calibri" w:cs="Calibri"/>
        </w:rPr>
      </w:pPr>
    </w:p>
    <w:p w14:paraId="4E3E6824" w14:textId="4B2E11B5" w:rsidR="0024615B" w:rsidRDefault="0024615B" w:rsidP="00F14E64">
      <w:pPr>
        <w:rPr>
          <w:rFonts w:ascii="Calibri" w:hAnsi="Calibri" w:cs="Calibri"/>
        </w:rPr>
      </w:pPr>
    </w:p>
    <w:p w14:paraId="0437FAC8" w14:textId="3F220A42" w:rsidR="0024615B" w:rsidRPr="00A47F2A" w:rsidRDefault="00A47F2A" w:rsidP="00A47F2A">
      <w:pPr>
        <w:pStyle w:val="Paragrafoelenco"/>
        <w:numPr>
          <w:ilvl w:val="0"/>
          <w:numId w:val="11"/>
        </w:numPr>
        <w:rPr>
          <w:rFonts w:ascii="Bookman Old Style" w:eastAsia="Times New Roman" w:hAnsi="Bookman Old Style"/>
          <w:b/>
          <w:bCs/>
          <w:color w:val="002060"/>
        </w:rPr>
      </w:pPr>
      <w:r w:rsidRPr="00A47F2A">
        <w:rPr>
          <w:rFonts w:ascii="Bookman Old Style" w:eastAsia="Times New Roman" w:hAnsi="Bookman Old Style"/>
          <w:b/>
          <w:bCs/>
          <w:color w:val="002060"/>
        </w:rPr>
        <w:t>Semplificazioni procedurali in materia di investimenti (Art. 30)</w:t>
      </w:r>
    </w:p>
    <w:p w14:paraId="729C79C9" w14:textId="77777777" w:rsidR="0024615B" w:rsidRPr="00A47F2A" w:rsidRDefault="0024615B" w:rsidP="0024615B">
      <w:pPr>
        <w:rPr>
          <w:rFonts w:ascii="Bookman Old Style" w:hAnsi="Bookman Old Style"/>
          <w:i/>
          <w:iCs/>
        </w:rPr>
      </w:pPr>
      <w:r w:rsidRPr="00A47F2A">
        <w:rPr>
          <w:rFonts w:ascii="Bookman Old Style" w:hAnsi="Bookman Old Style"/>
        </w:rPr>
        <w:t>L’articolo 30, prevede che nei procedimenti aventi ad oggetto investimenti per il sistema produttivo nazionale di valore superiore ai 50 milioni di euro, al di fuori dei casi in cui si applica l’articolo 12 del decreto legge n. 70/2021 (</w:t>
      </w:r>
      <w:r w:rsidRPr="00A47F2A">
        <w:rPr>
          <w:rFonts w:ascii="Bookman Old Style" w:hAnsi="Bookman Old Style"/>
          <w:i/>
          <w:iCs/>
        </w:rPr>
        <w:t xml:space="preserve">Poteri sostitutivi, superamento del dissenso e procedure finanziarie in caso di mancato rispetto da parte delle regioni, province e dei comuni degli obblighi e impegni finalizzati all'attuazione del PNRR),  </w:t>
      </w:r>
      <w:r w:rsidRPr="00A47F2A">
        <w:rPr>
          <w:rFonts w:ascii="Bookman Old Style" w:hAnsi="Bookman Old Style"/>
        </w:rPr>
        <w:t>in caso di inerzia o ritardo ascrivibili a regioni, province autonome di Trento e di Bolzano, città metropolitane, province e comuni, ai sensi dell’articolo 120, secondo comma, della Costituzione, il Consiglio dei ministri, su proposta del Presidente del Consiglio dei ministri, esercita i poteri sostitutivi, individuando l’amministrazione, l’ente, l’organo o l’ufficio, ovvero in alternativa nomina uno o più commissari ad acta, ai quali attribuisce, in via sostitutiva, il potere di adottare gli atti o provvedimenti necessari.</w:t>
      </w:r>
    </w:p>
    <w:p w14:paraId="416A246C" w14:textId="1CA82479" w:rsidR="0024615B" w:rsidRDefault="0024615B" w:rsidP="00F14E64">
      <w:pPr>
        <w:rPr>
          <w:rFonts w:ascii="Bookman Old Style" w:hAnsi="Bookman Old Style" w:cs="Calibri"/>
        </w:rPr>
      </w:pPr>
    </w:p>
    <w:p w14:paraId="798BF7F8" w14:textId="09B4D6EA" w:rsidR="00E90230" w:rsidRDefault="00E90230" w:rsidP="00F14E64">
      <w:pPr>
        <w:rPr>
          <w:rFonts w:ascii="Bookman Old Style" w:hAnsi="Bookman Old Style" w:cs="Calibri"/>
        </w:rPr>
      </w:pPr>
    </w:p>
    <w:p w14:paraId="084B7DBB" w14:textId="77777777" w:rsidR="00E90230" w:rsidRPr="00785E04" w:rsidRDefault="00E90230" w:rsidP="00E90230">
      <w:pPr>
        <w:spacing w:after="240"/>
        <w:ind w:left="360"/>
        <w:rPr>
          <w:rFonts w:ascii="Bookman Old Style" w:eastAsia="Times New Roman" w:hAnsi="Bookman Old Style"/>
          <w:b/>
          <w:bCs/>
          <w:color w:val="002060"/>
        </w:rPr>
      </w:pPr>
      <w:r w:rsidRPr="00785E04">
        <w:rPr>
          <w:rFonts w:ascii="Bookman Old Style" w:eastAsia="Times New Roman" w:hAnsi="Bookman Old Style"/>
          <w:b/>
          <w:bCs/>
          <w:color w:val="002060"/>
        </w:rPr>
        <w:t>DISPOSIZIONI IN MATERIA DI TRASPORTO PUBBLICO LOCALE</w:t>
      </w:r>
    </w:p>
    <w:p w14:paraId="53231778" w14:textId="77777777" w:rsidR="00E90230" w:rsidRPr="00DD3AEC" w:rsidRDefault="00E90230" w:rsidP="00E90230">
      <w:pPr>
        <w:spacing w:after="240"/>
        <w:ind w:left="360"/>
        <w:rPr>
          <w:rFonts w:ascii="Bookman Old Style" w:eastAsia="Times New Roman" w:hAnsi="Bookman Old Style"/>
        </w:rPr>
      </w:pPr>
    </w:p>
    <w:p w14:paraId="04483AB4" w14:textId="394A4011" w:rsidR="00E90230" w:rsidRPr="00DD3AEC" w:rsidRDefault="00E90230" w:rsidP="00E90230">
      <w:pPr>
        <w:numPr>
          <w:ilvl w:val="0"/>
          <w:numId w:val="9"/>
        </w:numPr>
        <w:spacing w:after="240" w:line="259" w:lineRule="auto"/>
        <w:jc w:val="left"/>
        <w:rPr>
          <w:rFonts w:ascii="Bookman Old Style" w:eastAsia="Times New Roman" w:hAnsi="Bookman Old Style"/>
          <w:b/>
          <w:bCs/>
          <w:color w:val="002060"/>
        </w:rPr>
      </w:pPr>
      <w:r w:rsidRPr="00DD3AEC">
        <w:rPr>
          <w:rFonts w:ascii="Bookman Old Style" w:eastAsia="Times New Roman" w:hAnsi="Bookman Old Style"/>
          <w:b/>
          <w:bCs/>
          <w:color w:val="002060"/>
        </w:rPr>
        <w:t>Disposizioni urgenti in materia di sostegno alle famiglie per la fruizione dei servizi di trasporto pubblico</w:t>
      </w:r>
      <w:r w:rsidR="0099220A">
        <w:rPr>
          <w:rFonts w:ascii="Bookman Old Style" w:eastAsia="Times New Roman" w:hAnsi="Bookman Old Style"/>
          <w:b/>
          <w:bCs/>
          <w:color w:val="002060"/>
        </w:rPr>
        <w:t xml:space="preserve"> (Art. 35)</w:t>
      </w:r>
    </w:p>
    <w:p w14:paraId="6200B247" w14:textId="63D0F2A1" w:rsidR="00E90230" w:rsidRPr="00DD3AEC" w:rsidRDefault="007524DC" w:rsidP="007524DC">
      <w:pPr>
        <w:spacing w:after="240"/>
        <w:rPr>
          <w:rFonts w:ascii="Bookman Old Style" w:eastAsia="Times New Roman" w:hAnsi="Bookman Old Style"/>
        </w:rPr>
      </w:pPr>
      <w:r>
        <w:rPr>
          <w:rFonts w:ascii="Bookman Old Style" w:eastAsia="Times New Roman" w:hAnsi="Bookman Old Style"/>
        </w:rPr>
        <w:t>La disposizione in esame, p</w:t>
      </w:r>
      <w:r w:rsidR="00E90230" w:rsidRPr="00DD3AEC">
        <w:rPr>
          <w:rFonts w:ascii="Bookman Old Style" w:eastAsia="Times New Roman" w:hAnsi="Bookman Old Style"/>
        </w:rPr>
        <w:t xml:space="preserve">er mitigare l’impatto del caro energia sulle famiglie, in particolare in relazione ai costi di trasporto per studenti e lavoratori, </w:t>
      </w:r>
      <w:r>
        <w:rPr>
          <w:rFonts w:ascii="Bookman Old Style" w:eastAsia="Times New Roman" w:hAnsi="Bookman Old Style"/>
        </w:rPr>
        <w:t>istituisce</w:t>
      </w:r>
      <w:r w:rsidR="00E90230" w:rsidRPr="00DD3AEC">
        <w:rPr>
          <w:rFonts w:ascii="Bookman Old Style" w:eastAsia="Times New Roman" w:hAnsi="Bookman Old Style"/>
        </w:rPr>
        <w:t xml:space="preserve"> un fondo presso il Ministero del lavoro e delle politiche sociali, pari a 79 milioni di euro per il 2022, finalizzato a riconoscere, nei limiti della dotazione del fondo e fino ad esaurimento delle risorse, un buono da utilizzare per l’acquisto, a decorrere dalla data di pubblicazione nella Gazzetta Ufficiale della Repubblica italiana del decreto di cui al comma 2 e fino al 31 dicembre 2022, di abbonamenti per i servizi di trasporto pubblico locale, regionale e interregionale ovvero per i servizi di trasporto ferroviario nazionale. Valore: fino a 60 euro. Beneficiari: persone fisiche con reddito fino a 35 mila euro.</w:t>
      </w:r>
    </w:p>
    <w:p w14:paraId="4FC4320C" w14:textId="77777777" w:rsidR="00E90230" w:rsidRPr="00DD3AEC" w:rsidRDefault="00E90230" w:rsidP="007524DC">
      <w:pPr>
        <w:spacing w:after="240"/>
        <w:rPr>
          <w:rFonts w:ascii="Bookman Old Style" w:eastAsia="Times New Roman" w:hAnsi="Bookman Old Style"/>
          <w:u w:val="single"/>
        </w:rPr>
      </w:pPr>
      <w:r w:rsidRPr="00DD3AEC">
        <w:rPr>
          <w:rFonts w:ascii="Bookman Old Style" w:eastAsia="Times New Roman" w:hAnsi="Bookman Old Style"/>
          <w:u w:val="single"/>
        </w:rPr>
        <w:t xml:space="preserve">Si fa presente ai fini della rendicontazione che il termine di decorrenza andrà emendato, dato che gli abbonamenti annuali di studenti e lavoratori vengono già acquistati a inizio anno. </w:t>
      </w:r>
      <w:proofErr w:type="gramStart"/>
      <w:r w:rsidRPr="00DD3AEC">
        <w:rPr>
          <w:rFonts w:ascii="Bookman Old Style" w:eastAsia="Times New Roman" w:hAnsi="Bookman Old Style"/>
          <w:u w:val="single"/>
        </w:rPr>
        <w:t>Inoltre</w:t>
      </w:r>
      <w:proofErr w:type="gramEnd"/>
      <w:r w:rsidRPr="00DD3AEC">
        <w:rPr>
          <w:rFonts w:ascii="Bookman Old Style" w:eastAsia="Times New Roman" w:hAnsi="Bookman Old Style"/>
          <w:u w:val="single"/>
        </w:rPr>
        <w:t xml:space="preserve"> appare necessario poi ripartire correttamente la quota tra ferro e TPL urbano, dato che il più delle volte gli abbonamenti sono integrati. </w:t>
      </w:r>
    </w:p>
    <w:p w14:paraId="34C0D18C" w14:textId="720A92AB" w:rsidR="00E90230" w:rsidRPr="00DD3AEC" w:rsidRDefault="00E90230" w:rsidP="00E90230">
      <w:pPr>
        <w:numPr>
          <w:ilvl w:val="0"/>
          <w:numId w:val="9"/>
        </w:numPr>
        <w:spacing w:after="240" w:line="259" w:lineRule="auto"/>
        <w:jc w:val="left"/>
        <w:rPr>
          <w:rFonts w:ascii="Bookman Old Style" w:eastAsia="Times New Roman" w:hAnsi="Bookman Old Style"/>
        </w:rPr>
      </w:pPr>
      <w:r w:rsidRPr="00DD3AEC">
        <w:rPr>
          <w:rFonts w:ascii="Bookman Old Style" w:eastAsia="Times New Roman" w:hAnsi="Bookman Old Style"/>
          <w:b/>
          <w:bCs/>
          <w:color w:val="002060"/>
        </w:rPr>
        <w:t>Servizi di trasporto pubblico locale</w:t>
      </w:r>
      <w:r w:rsidR="00ED3E8E">
        <w:rPr>
          <w:rFonts w:ascii="Bookman Old Style" w:eastAsia="Times New Roman" w:hAnsi="Bookman Old Style"/>
          <w:b/>
          <w:bCs/>
          <w:color w:val="002060"/>
        </w:rPr>
        <w:t xml:space="preserve"> (Art. 36)</w:t>
      </w:r>
    </w:p>
    <w:p w14:paraId="6433C3DF" w14:textId="77777777" w:rsidR="00E90230" w:rsidRPr="00DD3AEC" w:rsidRDefault="00E90230" w:rsidP="007524DC">
      <w:pPr>
        <w:spacing w:after="240"/>
        <w:rPr>
          <w:rFonts w:ascii="Bookman Old Style" w:eastAsia="Times New Roman" w:hAnsi="Bookman Old Style"/>
        </w:rPr>
      </w:pPr>
      <w:r w:rsidRPr="00DD3AEC">
        <w:rPr>
          <w:rFonts w:ascii="Bookman Old Style" w:eastAsia="Times New Roman" w:hAnsi="Bookman Old Style"/>
        </w:rPr>
        <w:t xml:space="preserve">La disposizione in esame è finalizzata ad estendere, fino alla conclusione delle attività didattiche, e quindi fino al 30 giugno 2022, il mantenimento dei servizi aggiuntivi programmati, concordati in seno ai Tavoli prefettizi, sostenuti da impegni contrattuali e basati, per gli istituti superiori, anche su doppi turni di ingresso e uscita. A tal fine per consentire il mantenimento dei servizi aggiuntivi, dal 1° aprile 2022 al 30 giugno 2022, la dotazione del fondo di cui all'articolo 1, comma 816, della legge 30 dicembre 2020, n. 178, </w:t>
      </w:r>
      <w:r w:rsidRPr="00DD3AEC">
        <w:rPr>
          <w:rFonts w:ascii="Bookman Old Style" w:eastAsia="Times New Roman" w:hAnsi="Bookman Old Style"/>
        </w:rPr>
        <w:lastRenderedPageBreak/>
        <w:t xml:space="preserve">è incrementata di </w:t>
      </w:r>
      <w:r w:rsidRPr="00DD3AEC">
        <w:rPr>
          <w:rFonts w:ascii="Bookman Old Style" w:eastAsia="Times New Roman" w:hAnsi="Bookman Old Style"/>
          <w:u w:val="single"/>
        </w:rPr>
        <w:t>ulteriori 50 milioni di euro per l'anno 2022</w:t>
      </w:r>
      <w:r w:rsidRPr="00DD3AEC">
        <w:rPr>
          <w:rFonts w:ascii="Bookman Old Style" w:eastAsia="Times New Roman" w:hAnsi="Bookman Old Style"/>
        </w:rPr>
        <w:t xml:space="preserve"> che ne costituisce il limite di spesa.</w:t>
      </w:r>
    </w:p>
    <w:p w14:paraId="79A57F2F" w14:textId="1AA9B0C5" w:rsidR="00E90230" w:rsidRDefault="00E90230" w:rsidP="00F14E64">
      <w:pPr>
        <w:rPr>
          <w:rFonts w:ascii="Bookman Old Style" w:hAnsi="Bookman Old Style" w:cs="Calibri"/>
        </w:rPr>
      </w:pPr>
    </w:p>
    <w:p w14:paraId="4942E613" w14:textId="77777777" w:rsidR="00394081" w:rsidRPr="00EC2721" w:rsidRDefault="00394081" w:rsidP="00E21511">
      <w:pPr>
        <w:spacing w:line="252" w:lineRule="auto"/>
        <w:contextualSpacing/>
        <w:rPr>
          <w:rFonts w:ascii="Bookman Old Style" w:hAnsi="Bookman Old Style"/>
          <w:b/>
          <w:bCs/>
          <w:color w:val="002060"/>
        </w:rPr>
      </w:pPr>
    </w:p>
    <w:p w14:paraId="5C801742" w14:textId="5A999F49" w:rsidR="0074456E" w:rsidRPr="00EC2721" w:rsidRDefault="009A34F2" w:rsidP="00E21511">
      <w:pPr>
        <w:spacing w:line="252" w:lineRule="auto"/>
        <w:contextualSpacing/>
        <w:rPr>
          <w:rFonts w:ascii="Bookman Old Style" w:hAnsi="Bookman Old Style"/>
          <w:b/>
          <w:bCs/>
          <w:color w:val="002060"/>
        </w:rPr>
      </w:pPr>
      <w:r w:rsidRPr="00EC2721">
        <w:rPr>
          <w:rFonts w:ascii="Bookman Old Style" w:hAnsi="Bookman Old Style"/>
          <w:b/>
          <w:bCs/>
          <w:color w:val="002060"/>
        </w:rPr>
        <w:t>MISURE IN FAVORE D</w:t>
      </w:r>
      <w:r w:rsidR="006E4070">
        <w:rPr>
          <w:rFonts w:ascii="Bookman Old Style" w:hAnsi="Bookman Old Style"/>
          <w:b/>
          <w:bCs/>
          <w:color w:val="002060"/>
        </w:rPr>
        <w:t>I SERVIZI AI CITTADINI</w:t>
      </w:r>
    </w:p>
    <w:p w14:paraId="1579CEC2" w14:textId="7CFD9D73" w:rsidR="00EC2721" w:rsidRPr="00EC2721" w:rsidRDefault="00EC2721" w:rsidP="00E21511">
      <w:pPr>
        <w:spacing w:line="252" w:lineRule="auto"/>
        <w:contextualSpacing/>
        <w:rPr>
          <w:rFonts w:ascii="Bookman Old Style" w:hAnsi="Bookman Old Style"/>
          <w:b/>
          <w:bCs/>
          <w:color w:val="002060"/>
        </w:rPr>
      </w:pPr>
    </w:p>
    <w:p w14:paraId="001AD61C" w14:textId="77777777" w:rsidR="00EC2721" w:rsidRPr="00EC2721" w:rsidRDefault="00EC2721" w:rsidP="00EC2721">
      <w:pPr>
        <w:numPr>
          <w:ilvl w:val="0"/>
          <w:numId w:val="8"/>
        </w:numPr>
        <w:shd w:val="clear" w:color="auto" w:fill="FFFFFF"/>
        <w:textAlignment w:val="baseline"/>
        <w:rPr>
          <w:rFonts w:ascii="Bookman Old Style" w:eastAsia="Times New Roman" w:hAnsi="Bookman Old Style" w:cs="Calibri"/>
          <w:b/>
          <w:bCs/>
          <w:color w:val="002060"/>
        </w:rPr>
      </w:pPr>
      <w:r w:rsidRPr="00EC2721">
        <w:rPr>
          <w:rFonts w:ascii="Bookman Old Style" w:eastAsia="Times New Roman" w:hAnsi="Bookman Old Style" w:cs="Calibri"/>
          <w:b/>
          <w:bCs/>
          <w:color w:val="002060"/>
        </w:rPr>
        <w:t>Disposizioni in materia di servizi di cittadinanza digitale (Art. 38)</w:t>
      </w:r>
    </w:p>
    <w:p w14:paraId="20948E38" w14:textId="77777777" w:rsidR="00EC2721" w:rsidRPr="00EC2721" w:rsidRDefault="00EC2721" w:rsidP="00EC2721">
      <w:pPr>
        <w:rPr>
          <w:rFonts w:ascii="Bookman Old Style" w:hAnsi="Bookman Old Style" w:cs="Calibri"/>
        </w:rPr>
      </w:pPr>
    </w:p>
    <w:p w14:paraId="7E20CDF6" w14:textId="59DC2DDF" w:rsidR="00EC2721" w:rsidRPr="00EC2721" w:rsidRDefault="00352C35" w:rsidP="00EC2721">
      <w:pPr>
        <w:rPr>
          <w:rFonts w:ascii="Bookman Old Style" w:hAnsi="Bookman Old Style" w:cs="Calibri"/>
        </w:rPr>
      </w:pPr>
      <w:r>
        <w:rPr>
          <w:rFonts w:ascii="Bookman Old Style" w:hAnsi="Bookman Old Style" w:cs="Calibri"/>
        </w:rPr>
        <w:t>La norma stabilisce che, n</w:t>
      </w:r>
      <w:r w:rsidR="00EC2721" w:rsidRPr="00EC2721">
        <w:rPr>
          <w:rFonts w:ascii="Bookman Old Style" w:hAnsi="Bookman Old Style" w:cs="Calibri"/>
        </w:rPr>
        <w:t>ei Comuni con popolazione inferiore a 15.000 abitanti, nell’ambito del più ampio progetto “Polis – Case dei servizi di cittadinanza digitale”, finanziato col Fondo complementare al PNRR e di titolarità del Ministero dello Sviluppo Economico che si avvale della società Poste Italiane per la sua realizzazione, saranno istituiti degli “sportelli unici” di prossimità per l’erogazione di servizi pubblici a cittadini ed imprese.</w:t>
      </w:r>
    </w:p>
    <w:p w14:paraId="4B8A59DE" w14:textId="77777777" w:rsidR="00EC2721" w:rsidRPr="00EC2721" w:rsidRDefault="00EC2721" w:rsidP="00EC2721">
      <w:pPr>
        <w:rPr>
          <w:rFonts w:ascii="Bookman Old Style" w:hAnsi="Bookman Old Style" w:cs="Calibri"/>
        </w:rPr>
      </w:pPr>
      <w:r w:rsidRPr="00EC2721">
        <w:rPr>
          <w:rFonts w:ascii="Bookman Old Style" w:hAnsi="Bookman Old Style" w:cs="Calibri"/>
        </w:rPr>
        <w:t xml:space="preserve">Per l’implementazione del suddetto progetto il MISE, il Dipartimento per la Funzione Pubblica e il Dipartimento per la Trasformazione Digitale della Presidenza del </w:t>
      </w:r>
      <w:proofErr w:type="gramStart"/>
      <w:r w:rsidRPr="00EC2721">
        <w:rPr>
          <w:rFonts w:ascii="Bookman Old Style" w:hAnsi="Bookman Old Style" w:cs="Calibri"/>
        </w:rPr>
        <w:t>Consiglio dei Ministri</w:t>
      </w:r>
      <w:proofErr w:type="gramEnd"/>
      <w:r w:rsidRPr="00EC2721">
        <w:rPr>
          <w:rFonts w:ascii="Bookman Old Style" w:hAnsi="Bookman Old Style" w:cs="Calibri"/>
        </w:rPr>
        <w:t xml:space="preserve"> stipuleranno delle convenzioni con le Amministrazioni competenti per i servizi che saranno resi disponibili per il tramite dei suddetti sportelli, inclusa l’acquisizione dei dati necessari all’emissione della Carta d’Identità Elettronica, in deroga a quanto previsto dalla legislazione vigente. Al personale delle strutture territoriali di Poste Italiane che si occuperà dello svolgimento delle attività legate all’erogazione dei servizi convenzionati e solo nell’ambito delle modalità definite all’interno dalle singole convenzioni, verrà attribuita la qualifica di incaricato di pubblico servizio che potrà procedere, tra le altre, alle attività di identificazione degli interessati e di acquisizione dei dati, anche biometrici, e della firma grafometrica degli stessi.</w:t>
      </w:r>
    </w:p>
    <w:p w14:paraId="15A66B19" w14:textId="77777777" w:rsidR="00EC2721" w:rsidRPr="00EC2721" w:rsidRDefault="00EC2721" w:rsidP="00EC2721">
      <w:pPr>
        <w:rPr>
          <w:rFonts w:ascii="Bookman Old Style" w:hAnsi="Bookman Old Style" w:cs="Calibri"/>
        </w:rPr>
      </w:pPr>
      <w:r w:rsidRPr="00EC2721">
        <w:rPr>
          <w:rFonts w:ascii="Bookman Old Style" w:hAnsi="Bookman Old Style" w:cs="Calibri"/>
        </w:rPr>
        <w:t>Le modalità di accesso ai dati e alle informazioni detenute dalle singole Amministrazioni saranno disciplinate nelle convenzioni su citate, eccezion fatta per le banche dati in uso alle Forze di Polizia.</w:t>
      </w:r>
    </w:p>
    <w:p w14:paraId="7520202B" w14:textId="10308F9C" w:rsidR="00EC2721" w:rsidRPr="00EC2721" w:rsidRDefault="00EC2721" w:rsidP="00E21511">
      <w:pPr>
        <w:spacing w:line="252" w:lineRule="auto"/>
        <w:contextualSpacing/>
        <w:rPr>
          <w:rFonts w:ascii="Bookman Old Style" w:hAnsi="Bookman Old Style"/>
          <w:b/>
          <w:bCs/>
          <w:color w:val="002060"/>
        </w:rPr>
      </w:pPr>
    </w:p>
    <w:p w14:paraId="6FB850E6" w14:textId="77777777" w:rsidR="007F65E6" w:rsidRDefault="007F65E6" w:rsidP="007F65E6">
      <w:pPr>
        <w:rPr>
          <w:rFonts w:ascii="Calibri" w:hAnsi="Calibri" w:cs="Calibri"/>
        </w:rPr>
      </w:pPr>
    </w:p>
    <w:p w14:paraId="0D0478DA" w14:textId="77777777" w:rsidR="007F65E6" w:rsidRDefault="007F65E6" w:rsidP="007F65E6">
      <w:pPr>
        <w:rPr>
          <w:rFonts w:ascii="Bookman Old Style" w:hAnsi="Bookman Old Style" w:cs="Times New Roman"/>
          <w:sz w:val="24"/>
          <w:szCs w:val="24"/>
        </w:rPr>
      </w:pPr>
    </w:p>
    <w:p w14:paraId="7F9CE8E1" w14:textId="15BFBDAA" w:rsidR="007F65E6" w:rsidRPr="007F65E6" w:rsidRDefault="007F65E6" w:rsidP="007F65E6">
      <w:pPr>
        <w:numPr>
          <w:ilvl w:val="0"/>
          <w:numId w:val="8"/>
        </w:numPr>
        <w:shd w:val="clear" w:color="auto" w:fill="FFFFFF"/>
        <w:textAlignment w:val="baseline"/>
        <w:rPr>
          <w:rFonts w:ascii="Bookman Old Style" w:eastAsia="Times New Roman" w:hAnsi="Bookman Old Style" w:cs="Calibri"/>
          <w:b/>
          <w:bCs/>
          <w:color w:val="002060"/>
        </w:rPr>
      </w:pPr>
      <w:r w:rsidRPr="007F65E6">
        <w:rPr>
          <w:rFonts w:ascii="Bookman Old Style" w:eastAsia="Times New Roman" w:hAnsi="Bookman Old Style" w:cs="Calibri"/>
          <w:b/>
          <w:bCs/>
          <w:color w:val="002060"/>
        </w:rPr>
        <w:t>Disposizioni in materia di sport</w:t>
      </w:r>
      <w:r>
        <w:rPr>
          <w:rFonts w:ascii="Bookman Old Style" w:eastAsia="Times New Roman" w:hAnsi="Bookman Old Style" w:cs="Calibri"/>
          <w:b/>
          <w:bCs/>
          <w:color w:val="002060"/>
        </w:rPr>
        <w:t xml:space="preserve"> (Art. 39)</w:t>
      </w:r>
    </w:p>
    <w:p w14:paraId="419F0DF4" w14:textId="77777777" w:rsidR="007F65E6" w:rsidRDefault="007F65E6" w:rsidP="007F65E6">
      <w:pPr>
        <w:rPr>
          <w:rFonts w:ascii="Bookman Old Style" w:hAnsi="Bookman Old Style"/>
        </w:rPr>
      </w:pPr>
    </w:p>
    <w:p w14:paraId="0DE71A31" w14:textId="77777777" w:rsidR="007F65E6" w:rsidRDefault="007F65E6" w:rsidP="007F65E6">
      <w:pPr>
        <w:spacing w:after="160" w:line="252" w:lineRule="auto"/>
        <w:rPr>
          <w:rFonts w:ascii="Bookman Old Style" w:hAnsi="Bookman Old Style"/>
        </w:rPr>
      </w:pPr>
      <w:r w:rsidRPr="0041431A">
        <w:rPr>
          <w:rFonts w:ascii="Bookman Old Style" w:hAnsi="Bookman Old Style"/>
        </w:rPr>
        <w:t>La disposizione incrementa le risorse del Fondo unico a sostegno del potenziamento del movimento sportivo italiano (</w:t>
      </w:r>
      <w:r w:rsidRPr="0041431A">
        <w:rPr>
          <w:rFonts w:ascii="Bookman Old Style" w:hAnsi="Bookman Old Style"/>
          <w:i/>
          <w:iCs/>
        </w:rPr>
        <w:t>si p</w:t>
      </w:r>
      <w:r>
        <w:rPr>
          <w:rFonts w:ascii="Bookman Old Style" w:hAnsi="Bookman Old Style"/>
          <w:i/>
          <w:iCs/>
        </w:rPr>
        <w:t>arla di 40 milioni di euro per il 2022 ma non sono ancora confermati</w:t>
      </w:r>
      <w:r>
        <w:rPr>
          <w:rFonts w:ascii="Bookman Old Style" w:hAnsi="Bookman Old Style"/>
        </w:rPr>
        <w:t>) da destinare all’erogazioni di contributi a fondo perduto in favore delle associazioni e società sportive dilettantistiche che gestiscono impianti sportivi e piscine, maggiormente colpite dagli aumenti dei prezzi nel settore elettrico.</w:t>
      </w:r>
    </w:p>
    <w:p w14:paraId="1BF77D8C" w14:textId="77777777" w:rsidR="007F65E6" w:rsidRDefault="007F65E6" w:rsidP="006E4070">
      <w:pPr>
        <w:spacing w:line="252" w:lineRule="auto"/>
        <w:contextualSpacing/>
        <w:rPr>
          <w:rFonts w:ascii="Bookman Old Style" w:hAnsi="Bookman Old Style"/>
          <w:b/>
          <w:bCs/>
          <w:color w:val="002060"/>
        </w:rPr>
      </w:pPr>
    </w:p>
    <w:p w14:paraId="65B8906E" w14:textId="77777777" w:rsidR="007F65E6" w:rsidRDefault="007F65E6" w:rsidP="006E4070">
      <w:pPr>
        <w:spacing w:line="252" w:lineRule="auto"/>
        <w:contextualSpacing/>
        <w:rPr>
          <w:rFonts w:ascii="Bookman Old Style" w:hAnsi="Bookman Old Style"/>
          <w:b/>
          <w:bCs/>
          <w:color w:val="002060"/>
        </w:rPr>
      </w:pPr>
    </w:p>
    <w:p w14:paraId="13267AC8" w14:textId="77777777" w:rsidR="00106028" w:rsidRPr="00EC2721" w:rsidRDefault="00106028" w:rsidP="00106028">
      <w:pPr>
        <w:spacing w:line="252" w:lineRule="auto"/>
        <w:contextualSpacing/>
        <w:rPr>
          <w:rFonts w:ascii="Bookman Old Style" w:hAnsi="Bookman Old Style"/>
          <w:b/>
          <w:bCs/>
          <w:color w:val="002060"/>
        </w:rPr>
      </w:pPr>
      <w:r w:rsidRPr="00EC2721">
        <w:rPr>
          <w:rFonts w:ascii="Bookman Old Style" w:hAnsi="Bookman Old Style"/>
          <w:b/>
          <w:bCs/>
          <w:color w:val="002060"/>
        </w:rPr>
        <w:t>MISURE IN FAVORE DEGLI ENTI TERRITORIALI</w:t>
      </w:r>
    </w:p>
    <w:p w14:paraId="4641082C" w14:textId="77777777" w:rsidR="00106028" w:rsidRPr="00EC2721" w:rsidRDefault="00106028" w:rsidP="00106028">
      <w:pPr>
        <w:pStyle w:val="Titolo2"/>
        <w:numPr>
          <w:ilvl w:val="0"/>
          <w:numId w:val="6"/>
        </w:numPr>
        <w:jc w:val="both"/>
        <w:rPr>
          <w:rFonts w:ascii="Bookman Old Style" w:eastAsiaTheme="minorHAnsi" w:hAnsi="Bookman Old Style" w:cstheme="minorBidi"/>
          <w:bCs/>
          <w:i w:val="0"/>
          <w:color w:val="002060"/>
          <w:szCs w:val="22"/>
        </w:rPr>
      </w:pPr>
      <w:bookmarkStart w:id="1" w:name="_Toc102064440"/>
      <w:bookmarkStart w:id="2" w:name="_Toc102404186"/>
      <w:r w:rsidRPr="00EC2721">
        <w:rPr>
          <w:rFonts w:ascii="Bookman Old Style" w:eastAsiaTheme="minorHAnsi" w:hAnsi="Bookman Old Style" w:cstheme="minorBidi"/>
          <w:bCs/>
          <w:i w:val="0"/>
          <w:color w:val="002060"/>
          <w:szCs w:val="22"/>
        </w:rPr>
        <w:t>Incremento contributo straordinario caro bollette</w:t>
      </w:r>
      <w:bookmarkEnd w:id="1"/>
      <w:bookmarkEnd w:id="2"/>
      <w:r w:rsidRPr="00EC2721">
        <w:rPr>
          <w:rFonts w:ascii="Bookman Old Style" w:eastAsiaTheme="minorHAnsi" w:hAnsi="Bookman Old Style" w:cstheme="minorBidi"/>
          <w:bCs/>
          <w:i w:val="0"/>
          <w:color w:val="002060"/>
          <w:szCs w:val="22"/>
        </w:rPr>
        <w:t xml:space="preserve"> (Art. 4</w:t>
      </w:r>
      <w:r>
        <w:rPr>
          <w:rFonts w:ascii="Bookman Old Style" w:eastAsiaTheme="minorHAnsi" w:hAnsi="Bookman Old Style" w:cstheme="minorBidi"/>
          <w:bCs/>
          <w:i w:val="0"/>
          <w:color w:val="002060"/>
          <w:szCs w:val="22"/>
        </w:rPr>
        <w:t>0</w:t>
      </w:r>
      <w:r w:rsidRPr="00EC2721">
        <w:rPr>
          <w:rFonts w:ascii="Bookman Old Style" w:eastAsiaTheme="minorHAnsi" w:hAnsi="Bookman Old Style" w:cstheme="minorBidi"/>
          <w:bCs/>
          <w:i w:val="0"/>
          <w:color w:val="002060"/>
          <w:szCs w:val="22"/>
        </w:rPr>
        <w:t>, comma 3)</w:t>
      </w:r>
    </w:p>
    <w:p w14:paraId="47E35EB2" w14:textId="77777777" w:rsidR="00106028" w:rsidRPr="0001290A" w:rsidRDefault="00106028" w:rsidP="00106028">
      <w:pPr>
        <w:spacing w:after="60" w:line="256" w:lineRule="auto"/>
        <w:rPr>
          <w:rFonts w:ascii="Bookman Old Style" w:hAnsi="Bookman Old Style" w:cs="Times New Roman"/>
        </w:rPr>
      </w:pPr>
      <w:r w:rsidRPr="00EC2721">
        <w:rPr>
          <w:rFonts w:ascii="Bookman Old Style" w:hAnsi="Bookman Old Style" w:cs="Times New Roman"/>
          <w:b/>
          <w:bCs/>
        </w:rPr>
        <w:t>Il comma 3</w:t>
      </w:r>
      <w:r w:rsidRPr="00EC2721">
        <w:rPr>
          <w:rFonts w:ascii="Bookman Old Style" w:hAnsi="Bookman Old Style" w:cs="Times New Roman"/>
        </w:rPr>
        <w:t xml:space="preserve"> incrementa il contributo straordinario già previsto dall’articolo 27, comma 2, del decreto-legge </w:t>
      </w:r>
      <w:proofErr w:type="gramStart"/>
      <w:r w:rsidRPr="00EC2721">
        <w:rPr>
          <w:rFonts w:ascii="Bookman Old Style" w:hAnsi="Bookman Old Style" w:cs="Times New Roman"/>
        </w:rPr>
        <w:t>1 marzo</w:t>
      </w:r>
      <w:proofErr w:type="gramEnd"/>
      <w:r w:rsidRPr="00EC2721">
        <w:rPr>
          <w:rFonts w:ascii="Bookman Old Style" w:hAnsi="Bookman Old Style" w:cs="Times New Roman"/>
        </w:rPr>
        <w:t xml:space="preserve"> 2022, n. 17 convertito nella legge 27 aprile 2022, n. 34. Tale fondo </w:t>
      </w:r>
      <w:r w:rsidRPr="00EC2721">
        <w:rPr>
          <w:rFonts w:ascii="Bookman Old Style" w:hAnsi="Bookman Old Style" w:cs="Times New Roman"/>
          <w:b/>
          <w:bCs/>
        </w:rPr>
        <w:t xml:space="preserve">viene incrementato per l’anno 2022 di </w:t>
      </w:r>
      <w:r>
        <w:rPr>
          <w:rFonts w:ascii="Bookman Old Style" w:hAnsi="Bookman Old Style" w:cs="Times New Roman"/>
          <w:b/>
          <w:bCs/>
        </w:rPr>
        <w:t>17</w:t>
      </w:r>
      <w:r w:rsidRPr="00EC2721">
        <w:rPr>
          <w:rFonts w:ascii="Bookman Old Style" w:hAnsi="Bookman Old Style" w:cs="Times New Roman"/>
          <w:b/>
          <w:bCs/>
        </w:rPr>
        <w:t>0 milioni di euro, da destinare per 1</w:t>
      </w:r>
      <w:r>
        <w:rPr>
          <w:rFonts w:ascii="Bookman Old Style" w:hAnsi="Bookman Old Style" w:cs="Times New Roman"/>
          <w:b/>
          <w:bCs/>
        </w:rPr>
        <w:t>5</w:t>
      </w:r>
      <w:r w:rsidRPr="00EC2721">
        <w:rPr>
          <w:rFonts w:ascii="Bookman Old Style" w:hAnsi="Bookman Old Style" w:cs="Times New Roman"/>
          <w:b/>
          <w:bCs/>
        </w:rPr>
        <w:t xml:space="preserve">0 milioni di euro in favore dei comuni e per </w:t>
      </w:r>
      <w:r>
        <w:rPr>
          <w:rFonts w:ascii="Bookman Old Style" w:hAnsi="Bookman Old Style" w:cs="Times New Roman"/>
          <w:b/>
          <w:bCs/>
        </w:rPr>
        <w:t>2</w:t>
      </w:r>
      <w:r w:rsidRPr="00EC2721">
        <w:rPr>
          <w:rFonts w:ascii="Bookman Old Style" w:hAnsi="Bookman Old Style" w:cs="Times New Roman"/>
          <w:b/>
          <w:bCs/>
        </w:rPr>
        <w:t>0 milioni di euro in favore delle città metropolitane e delle province</w:t>
      </w:r>
      <w:r w:rsidRPr="00EC2721">
        <w:rPr>
          <w:rFonts w:ascii="Bookman Old Style" w:hAnsi="Bookman Old Style" w:cs="Times New Roman"/>
        </w:rPr>
        <w:t xml:space="preserve">.  Il riparto viene fatto con decreto del Ministro dell'interno, di concerto con il Ministro dell'economia e delle finanze e il Ministro per gli affari regionali e le autonomie, previa </w:t>
      </w:r>
      <w:r w:rsidRPr="00EC2721">
        <w:rPr>
          <w:rFonts w:ascii="Bookman Old Style" w:hAnsi="Bookman Old Style" w:cs="Times New Roman"/>
          <w:b/>
          <w:bCs/>
        </w:rPr>
        <w:t xml:space="preserve">intesa in sede di Conferenza Stato-città ed autonomie locali, da </w:t>
      </w:r>
      <w:r w:rsidRPr="00EC2721">
        <w:rPr>
          <w:rFonts w:ascii="Bookman Old Style" w:hAnsi="Bookman Old Style" w:cs="Times New Roman"/>
          <w:b/>
          <w:bCs/>
        </w:rPr>
        <w:lastRenderedPageBreak/>
        <w:t>adottare entro il 30 giugno 2022</w:t>
      </w:r>
      <w:r w:rsidRPr="00EC2721">
        <w:rPr>
          <w:rFonts w:ascii="Bookman Old Style" w:hAnsi="Bookman Old Style" w:cs="Times New Roman"/>
        </w:rPr>
        <w:t>, in relazione alla spesa per utenze di energia elettrica e gas.</w:t>
      </w:r>
      <w:r>
        <w:rPr>
          <w:rFonts w:ascii="Bookman Old Style" w:hAnsi="Bookman Old Style" w:cs="Times New Roman"/>
        </w:rPr>
        <w:t xml:space="preserve"> </w:t>
      </w:r>
      <w:r w:rsidRPr="0001290A">
        <w:rPr>
          <w:rFonts w:ascii="Bookman Old Style" w:hAnsi="Bookman Old Style" w:cs="Times New Roman"/>
        </w:rPr>
        <w:t xml:space="preserve">Vale la pena ricordare che la Conferenza stato-città ed autonomie locali nella seduta dell’11 maggio scorso ha approvato il riparto dei 250 milioni di euro stanziati per le medesime finalità dall’art. 27 del dl 17/2022 – di cui 200 milioni destinati ai comuni e 50 alle province e alle città metropolitane.  </w:t>
      </w:r>
    </w:p>
    <w:p w14:paraId="78B49CEA" w14:textId="77777777" w:rsidR="00106028" w:rsidRPr="00BF584A" w:rsidRDefault="00106028" w:rsidP="00106028">
      <w:pPr>
        <w:spacing w:after="60" w:line="256" w:lineRule="auto"/>
        <w:rPr>
          <w:rFonts w:ascii="Bookman Old Style" w:hAnsi="Bookman Old Style" w:cs="Times New Roman"/>
          <w:color w:val="FF0000"/>
        </w:rPr>
      </w:pPr>
      <w:r w:rsidRPr="00BF584A">
        <w:rPr>
          <w:rFonts w:ascii="Bookman Old Style" w:hAnsi="Bookman Old Style" w:cs="Times New Roman"/>
          <w:color w:val="FF0000"/>
        </w:rPr>
        <w:t xml:space="preserve"> </w:t>
      </w:r>
    </w:p>
    <w:p w14:paraId="43F4BD6F" w14:textId="77777777" w:rsidR="00106028" w:rsidRPr="00EC2721" w:rsidRDefault="00106028" w:rsidP="00106028">
      <w:pPr>
        <w:spacing w:after="60" w:line="256" w:lineRule="auto"/>
        <w:rPr>
          <w:rFonts w:ascii="Bookman Old Style" w:eastAsia="Calibri" w:hAnsi="Bookman Old Style" w:cs="Times New Roman"/>
          <w:b/>
          <w:bCs/>
        </w:rPr>
      </w:pPr>
    </w:p>
    <w:p w14:paraId="1F14320E" w14:textId="77777777" w:rsidR="00106028" w:rsidRPr="00EC2721" w:rsidRDefault="00106028" w:rsidP="00106028">
      <w:pPr>
        <w:pStyle w:val="Titolo2"/>
        <w:numPr>
          <w:ilvl w:val="0"/>
          <w:numId w:val="6"/>
        </w:numPr>
        <w:jc w:val="both"/>
        <w:rPr>
          <w:rFonts w:ascii="Bookman Old Style" w:eastAsiaTheme="minorHAnsi" w:hAnsi="Bookman Old Style" w:cstheme="minorBidi"/>
          <w:bCs/>
          <w:i w:val="0"/>
          <w:color w:val="002060"/>
          <w:szCs w:val="22"/>
        </w:rPr>
      </w:pPr>
      <w:r w:rsidRPr="00EC2721">
        <w:rPr>
          <w:rFonts w:ascii="Bookman Old Style" w:eastAsiaTheme="minorHAnsi" w:hAnsi="Bookman Old Style" w:cstheme="minorBidi"/>
          <w:bCs/>
          <w:i w:val="0"/>
          <w:color w:val="002060"/>
          <w:szCs w:val="22"/>
        </w:rPr>
        <w:t>Applicabilità avanzo libero (Art. 4</w:t>
      </w:r>
      <w:r>
        <w:rPr>
          <w:rFonts w:ascii="Bookman Old Style" w:eastAsiaTheme="minorHAnsi" w:hAnsi="Bookman Old Style" w:cstheme="minorBidi"/>
          <w:bCs/>
          <w:i w:val="0"/>
          <w:color w:val="002060"/>
          <w:szCs w:val="22"/>
        </w:rPr>
        <w:t>0</w:t>
      </w:r>
      <w:r w:rsidRPr="00EC2721">
        <w:rPr>
          <w:rFonts w:ascii="Bookman Old Style" w:eastAsiaTheme="minorHAnsi" w:hAnsi="Bookman Old Style" w:cstheme="minorBidi"/>
          <w:bCs/>
          <w:i w:val="0"/>
          <w:color w:val="002060"/>
          <w:szCs w:val="22"/>
        </w:rPr>
        <w:t>, comma 4)</w:t>
      </w:r>
    </w:p>
    <w:p w14:paraId="64D0F7AF" w14:textId="77777777" w:rsidR="00106028" w:rsidRPr="00EC2721" w:rsidRDefault="00106028" w:rsidP="00106028">
      <w:pPr>
        <w:textAlignment w:val="baseline"/>
        <w:rPr>
          <w:rFonts w:ascii="Bookman Old Style" w:hAnsi="Bookman Old Style" w:cs="Times New Roman"/>
          <w:b/>
          <w:bCs/>
        </w:rPr>
      </w:pPr>
      <w:r w:rsidRPr="00EC2721">
        <w:rPr>
          <w:rFonts w:ascii="Bookman Old Style" w:eastAsia="Calibri" w:hAnsi="Bookman Old Style" w:cs="Times New Roman"/>
          <w:b/>
          <w:bCs/>
        </w:rPr>
        <w:t>Il comma 4, i</w:t>
      </w:r>
      <w:r w:rsidRPr="00EC2721">
        <w:rPr>
          <w:rFonts w:ascii="Bookman Old Style" w:hAnsi="Bookman Old Style" w:cs="Times New Roman"/>
          <w:b/>
          <w:bCs/>
        </w:rPr>
        <w:t>n via eccezionale e limitatamente all’anno 2022</w:t>
      </w:r>
      <w:r w:rsidRPr="00EC2721">
        <w:rPr>
          <w:rFonts w:ascii="Bookman Old Style" w:hAnsi="Bookman Old Style" w:cs="Times New Roman"/>
        </w:rPr>
        <w:t xml:space="preserve">, </w:t>
      </w:r>
      <w:r>
        <w:rPr>
          <w:rFonts w:ascii="Bookman Old Style" w:hAnsi="Bookman Old Style" w:cs="Times New Roman"/>
        </w:rPr>
        <w:t>anche in</w:t>
      </w:r>
      <w:r w:rsidRPr="00EC2721">
        <w:rPr>
          <w:rFonts w:ascii="Bookman Old Style" w:hAnsi="Bookman Old Style" w:cs="Times New Roman"/>
        </w:rPr>
        <w:t xml:space="preserve"> considerazione degli effetti economici della crisi ucraina e dell’emergenza epidemiologica</w:t>
      </w:r>
      <w:r>
        <w:rPr>
          <w:rFonts w:ascii="Bookman Old Style" w:hAnsi="Bookman Old Style" w:cs="Times New Roman"/>
        </w:rPr>
        <w:t>,</w:t>
      </w:r>
      <w:r w:rsidRPr="00EC2721">
        <w:rPr>
          <w:rFonts w:ascii="Bookman Old Style" w:hAnsi="Bookman Old Style" w:cs="Times New Roman"/>
        </w:rPr>
        <w:t xml:space="preserve"> </w:t>
      </w:r>
      <w:r w:rsidRPr="00EC2721">
        <w:rPr>
          <w:rFonts w:ascii="Bookman Old Style" w:hAnsi="Bookman Old Style" w:cs="Times New Roman"/>
          <w:b/>
          <w:bCs/>
        </w:rPr>
        <w:t>stabilisce che gli enti locali possono approvare il bilancio di previsione con l’applicazione della quota libera dell’avanzo, accertato con l’approvazione del rendiconto 2021.</w:t>
      </w:r>
    </w:p>
    <w:p w14:paraId="3FBAE20B" w14:textId="77777777" w:rsidR="00106028" w:rsidRPr="00EC2721" w:rsidRDefault="00106028" w:rsidP="00106028">
      <w:pPr>
        <w:spacing w:after="120" w:line="256" w:lineRule="auto"/>
        <w:rPr>
          <w:rFonts w:ascii="Bookman Old Style" w:eastAsia="Calibri" w:hAnsi="Bookman Old Style" w:cs="Times New Roman"/>
          <w:b/>
          <w:bCs/>
        </w:rPr>
      </w:pPr>
    </w:p>
    <w:p w14:paraId="7F7EA84B" w14:textId="77777777" w:rsidR="00106028" w:rsidRPr="00EC2721" w:rsidRDefault="00106028" w:rsidP="00106028">
      <w:pPr>
        <w:pStyle w:val="Titolo2"/>
        <w:numPr>
          <w:ilvl w:val="0"/>
          <w:numId w:val="5"/>
        </w:numPr>
        <w:jc w:val="both"/>
        <w:rPr>
          <w:rFonts w:ascii="Bookman Old Style" w:eastAsia="Calibri" w:hAnsi="Bookman Old Style" w:cs="Times New Roman"/>
          <w:bCs/>
          <w:i w:val="0"/>
          <w:color w:val="002060"/>
          <w:szCs w:val="22"/>
        </w:rPr>
      </w:pPr>
      <w:bookmarkStart w:id="3" w:name="_Toc102064441"/>
      <w:bookmarkStart w:id="4" w:name="_Toc102404187"/>
      <w:r w:rsidRPr="00EC2721">
        <w:rPr>
          <w:rFonts w:ascii="Bookman Old Style" w:eastAsia="Calibri" w:hAnsi="Bookman Old Style" w:cs="Times New Roman"/>
          <w:bCs/>
          <w:i w:val="0"/>
          <w:color w:val="002060"/>
          <w:szCs w:val="22"/>
        </w:rPr>
        <w:t>Contributo Province e Città metropolitane per flessione IPT e RC Auto</w:t>
      </w:r>
      <w:bookmarkEnd w:id="3"/>
      <w:bookmarkEnd w:id="4"/>
      <w:r w:rsidRPr="00EC2721">
        <w:rPr>
          <w:rFonts w:ascii="Bookman Old Style" w:eastAsia="Calibri" w:hAnsi="Bookman Old Style" w:cs="Times New Roman"/>
          <w:bCs/>
          <w:i w:val="0"/>
          <w:color w:val="002060"/>
          <w:szCs w:val="22"/>
        </w:rPr>
        <w:t xml:space="preserve"> (Art. 4</w:t>
      </w:r>
      <w:r>
        <w:rPr>
          <w:rFonts w:ascii="Bookman Old Style" w:eastAsia="Calibri" w:hAnsi="Bookman Old Style" w:cs="Times New Roman"/>
          <w:bCs/>
          <w:i w:val="0"/>
          <w:color w:val="002060"/>
          <w:szCs w:val="22"/>
        </w:rPr>
        <w:t>1</w:t>
      </w:r>
      <w:r w:rsidRPr="00EC2721">
        <w:rPr>
          <w:rFonts w:ascii="Bookman Old Style" w:eastAsia="Calibri" w:hAnsi="Bookman Old Style" w:cs="Times New Roman"/>
          <w:bCs/>
          <w:i w:val="0"/>
          <w:color w:val="002060"/>
          <w:szCs w:val="22"/>
        </w:rPr>
        <w:t>)</w:t>
      </w:r>
    </w:p>
    <w:p w14:paraId="390B3F74" w14:textId="77777777" w:rsidR="00106028" w:rsidRPr="00EC2721" w:rsidRDefault="00106028" w:rsidP="00106028">
      <w:pPr>
        <w:pStyle w:val="li2"/>
        <w:spacing w:before="0" w:beforeAutospacing="0" w:after="0" w:afterAutospacing="0" w:line="240" w:lineRule="auto"/>
        <w:rPr>
          <w:rStyle w:val="s2"/>
          <w:rFonts w:ascii="Bookman Old Style" w:hAnsi="Bookman Old Style"/>
        </w:rPr>
      </w:pPr>
      <w:r w:rsidRPr="00EC2721">
        <w:rPr>
          <w:rStyle w:val="s2"/>
          <w:rFonts w:ascii="Bookman Old Style" w:hAnsi="Bookman Old Style"/>
        </w:rPr>
        <w:t xml:space="preserve">Si prevede </w:t>
      </w:r>
      <w:r w:rsidRPr="00EC2721">
        <w:rPr>
          <w:rStyle w:val="s2"/>
          <w:rFonts w:ascii="Bookman Old Style" w:hAnsi="Bookman Old Style"/>
          <w:b/>
          <w:bCs/>
        </w:rPr>
        <w:t xml:space="preserve">un fondo, </w:t>
      </w:r>
      <w:r w:rsidRPr="00EC2721">
        <w:rPr>
          <w:rStyle w:val="s2"/>
          <w:rFonts w:ascii="Bookman Old Style" w:hAnsi="Bookman Old Style"/>
        </w:rPr>
        <w:t xml:space="preserve">nello stato di previsione del Ministero dell’interno, </w:t>
      </w:r>
      <w:r w:rsidRPr="00EC2721">
        <w:rPr>
          <w:rStyle w:val="s2"/>
          <w:rFonts w:ascii="Bookman Old Style" w:hAnsi="Bookman Old Style"/>
          <w:b/>
          <w:bCs/>
        </w:rPr>
        <w:t>pari a 80 milioni di euro annui per ciascuno degli anni 2022-2024,</w:t>
      </w:r>
      <w:r w:rsidRPr="00EC2721">
        <w:rPr>
          <w:rStyle w:val="s2"/>
          <w:rFonts w:ascii="Bookman Old Style" w:hAnsi="Bookman Old Style"/>
        </w:rPr>
        <w:t xml:space="preserve"> destinato alle </w:t>
      </w:r>
      <w:r w:rsidRPr="00EC2721">
        <w:rPr>
          <w:rStyle w:val="s2"/>
          <w:rFonts w:ascii="Bookman Old Style" w:hAnsi="Bookman Old Style"/>
          <w:b/>
          <w:bCs/>
        </w:rPr>
        <w:t>province e città metropolitane delle regioni a statuto ordinario e della Regione Siciliana e Sardegna</w:t>
      </w:r>
      <w:r w:rsidRPr="00EC2721">
        <w:rPr>
          <w:rStyle w:val="s2"/>
          <w:rFonts w:ascii="Bookman Old Style" w:hAnsi="Bookman Old Style"/>
        </w:rPr>
        <w:t xml:space="preserve"> che hanno subito una riduzione percentuale nel 2021 rispetto al 2019 del gettito dell’Imposta provinciale di trascrizione (IPT) o RC Auto superiore, rispettivamente, al 16 per cento (IPT) e al 10 per cento (RC Auto), come risultante dai dati a disposizione del Dipartimento delle Finanze. Il fondo è ripartito con decreto del Ministero dell’interno di concerto con il MEF d’intesa con la Conferenza stato città ed autonomie locali, entro 30 giorni dall’entrata in vigore del presente decreto, sulla base della popolazione residente al 1° gennaio 2021. </w:t>
      </w:r>
    </w:p>
    <w:p w14:paraId="7F8E28DE" w14:textId="77777777" w:rsidR="00106028" w:rsidRPr="00EC2721" w:rsidRDefault="00106028" w:rsidP="00106028">
      <w:pPr>
        <w:pStyle w:val="Titolo2"/>
        <w:numPr>
          <w:ilvl w:val="0"/>
          <w:numId w:val="5"/>
        </w:numPr>
        <w:jc w:val="both"/>
        <w:rPr>
          <w:rFonts w:ascii="Bookman Old Style" w:eastAsia="Calibri" w:hAnsi="Bookman Old Style" w:cs="Times New Roman"/>
          <w:bCs/>
          <w:i w:val="0"/>
          <w:color w:val="002060"/>
          <w:szCs w:val="22"/>
        </w:rPr>
      </w:pPr>
      <w:bookmarkStart w:id="5" w:name="_Toc102064442"/>
      <w:bookmarkStart w:id="6" w:name="_Toc102404188"/>
      <w:r w:rsidRPr="00EC2721">
        <w:rPr>
          <w:rFonts w:ascii="Bookman Old Style" w:eastAsia="Calibri" w:hAnsi="Bookman Old Style" w:cs="Times New Roman"/>
          <w:bCs/>
          <w:i w:val="0"/>
          <w:color w:val="002060"/>
          <w:szCs w:val="22"/>
        </w:rPr>
        <w:t>Sostegno obiettivi PNRR grandi città</w:t>
      </w:r>
      <w:bookmarkEnd w:id="5"/>
      <w:bookmarkEnd w:id="6"/>
      <w:r w:rsidRPr="00EC2721">
        <w:rPr>
          <w:rFonts w:ascii="Bookman Old Style" w:eastAsia="Calibri" w:hAnsi="Bookman Old Style" w:cs="Times New Roman"/>
          <w:bCs/>
          <w:i w:val="0"/>
          <w:color w:val="002060"/>
          <w:szCs w:val="22"/>
        </w:rPr>
        <w:t xml:space="preserve"> (Art. 4</w:t>
      </w:r>
      <w:r>
        <w:rPr>
          <w:rFonts w:ascii="Bookman Old Style" w:eastAsia="Calibri" w:hAnsi="Bookman Old Style" w:cs="Times New Roman"/>
          <w:bCs/>
          <w:i w:val="0"/>
          <w:color w:val="002060"/>
          <w:szCs w:val="22"/>
        </w:rPr>
        <w:t>2</w:t>
      </w:r>
      <w:r w:rsidRPr="00EC2721">
        <w:rPr>
          <w:rFonts w:ascii="Bookman Old Style" w:eastAsia="Calibri" w:hAnsi="Bookman Old Style" w:cs="Times New Roman"/>
          <w:bCs/>
          <w:i w:val="0"/>
          <w:color w:val="002060"/>
          <w:szCs w:val="22"/>
        </w:rPr>
        <w:t>)</w:t>
      </w:r>
    </w:p>
    <w:p w14:paraId="0BC2C3CA" w14:textId="77777777" w:rsidR="00106028" w:rsidRPr="00EC2721" w:rsidRDefault="00106028" w:rsidP="00106028">
      <w:pPr>
        <w:rPr>
          <w:rFonts w:ascii="Bookman Old Style" w:hAnsi="Bookman Old Style" w:cs="Times New Roman"/>
        </w:rPr>
      </w:pPr>
      <w:r w:rsidRPr="00EC2721">
        <w:rPr>
          <w:rFonts w:ascii="Bookman Old Style" w:hAnsi="Bookman Old Style" w:cs="Times New Roman"/>
        </w:rPr>
        <w:t xml:space="preserve">Si prevede un </w:t>
      </w:r>
      <w:r w:rsidRPr="00EC2721">
        <w:rPr>
          <w:rFonts w:ascii="Bookman Old Style" w:hAnsi="Bookman Old Style" w:cs="Times New Roman"/>
          <w:b/>
          <w:bCs/>
        </w:rPr>
        <w:t>fondo</w:t>
      </w:r>
      <w:r w:rsidRPr="00EC2721">
        <w:rPr>
          <w:rFonts w:ascii="Bookman Old Style" w:hAnsi="Bookman Old Style" w:cs="Times New Roman"/>
        </w:rPr>
        <w:t xml:space="preserve">, nello stato di previsione del Ministero dell’interno </w:t>
      </w:r>
      <w:r w:rsidRPr="00EC2721">
        <w:rPr>
          <w:rFonts w:ascii="Bookman Old Style" w:hAnsi="Bookman Old Style" w:cs="Times New Roman"/>
          <w:b/>
          <w:bCs/>
        </w:rPr>
        <w:t xml:space="preserve">di </w:t>
      </w:r>
      <w:r>
        <w:rPr>
          <w:rFonts w:ascii="Bookman Old Style" w:hAnsi="Bookman Old Style" w:cs="Times New Roman"/>
          <w:b/>
          <w:bCs/>
        </w:rPr>
        <w:t xml:space="preserve">325 </w:t>
      </w:r>
      <w:r w:rsidRPr="00EC2721">
        <w:rPr>
          <w:rFonts w:ascii="Bookman Old Style" w:hAnsi="Bookman Old Style" w:cs="Times New Roman"/>
          <w:b/>
          <w:bCs/>
        </w:rPr>
        <w:t>milioni di euro per l’anno 202</w:t>
      </w:r>
      <w:r>
        <w:rPr>
          <w:rFonts w:ascii="Bookman Old Style" w:hAnsi="Bookman Old Style" w:cs="Times New Roman"/>
          <w:b/>
          <w:bCs/>
        </w:rPr>
        <w:t>3</w:t>
      </w:r>
      <w:r w:rsidRPr="00EC2721">
        <w:rPr>
          <w:rFonts w:ascii="Bookman Old Style" w:hAnsi="Bookman Old Style" w:cs="Times New Roman"/>
          <w:b/>
          <w:bCs/>
        </w:rPr>
        <w:t>, di 200 milioni di euro per l’anno 202</w:t>
      </w:r>
      <w:r>
        <w:rPr>
          <w:rFonts w:ascii="Bookman Old Style" w:hAnsi="Bookman Old Style" w:cs="Times New Roman"/>
          <w:b/>
          <w:bCs/>
        </w:rPr>
        <w:t>4</w:t>
      </w:r>
      <w:r w:rsidRPr="00EC2721">
        <w:rPr>
          <w:rFonts w:ascii="Bookman Old Style" w:hAnsi="Bookman Old Style" w:cs="Times New Roman"/>
          <w:b/>
          <w:bCs/>
        </w:rPr>
        <w:t xml:space="preserve">, di </w:t>
      </w:r>
      <w:r>
        <w:rPr>
          <w:rFonts w:ascii="Bookman Old Style" w:hAnsi="Bookman Old Style" w:cs="Times New Roman"/>
          <w:b/>
          <w:bCs/>
        </w:rPr>
        <w:t>50</w:t>
      </w:r>
      <w:r w:rsidRPr="00EC2721">
        <w:rPr>
          <w:rFonts w:ascii="Bookman Old Style" w:hAnsi="Bookman Old Style" w:cs="Times New Roman"/>
          <w:b/>
          <w:bCs/>
        </w:rPr>
        <w:t xml:space="preserve"> milioni di euro per l’anno 202</w:t>
      </w:r>
      <w:r>
        <w:rPr>
          <w:rFonts w:ascii="Bookman Old Style" w:hAnsi="Bookman Old Style" w:cs="Times New Roman"/>
          <w:b/>
          <w:bCs/>
        </w:rPr>
        <w:t>5</w:t>
      </w:r>
      <w:r w:rsidRPr="00EC2721">
        <w:rPr>
          <w:rFonts w:ascii="Bookman Old Style" w:hAnsi="Bookman Old Style" w:cs="Times New Roman"/>
          <w:b/>
          <w:bCs/>
        </w:rPr>
        <w:t xml:space="preserve"> e di </w:t>
      </w:r>
      <w:r>
        <w:rPr>
          <w:rFonts w:ascii="Bookman Old Style" w:hAnsi="Bookman Old Style" w:cs="Times New Roman"/>
          <w:b/>
          <w:bCs/>
        </w:rPr>
        <w:t xml:space="preserve">35 </w:t>
      </w:r>
      <w:r w:rsidRPr="00EC2721">
        <w:rPr>
          <w:rFonts w:ascii="Bookman Old Style" w:hAnsi="Bookman Old Style" w:cs="Times New Roman"/>
          <w:b/>
          <w:bCs/>
        </w:rPr>
        <w:t>milioni per l’anno 202</w:t>
      </w:r>
      <w:r>
        <w:rPr>
          <w:rFonts w:ascii="Bookman Old Style" w:hAnsi="Bookman Old Style" w:cs="Times New Roman"/>
          <w:b/>
          <w:bCs/>
        </w:rPr>
        <w:t>6</w:t>
      </w:r>
      <w:r w:rsidRPr="00EC2721">
        <w:rPr>
          <w:rFonts w:ascii="Bookman Old Style" w:hAnsi="Bookman Old Style" w:cs="Times New Roman"/>
        </w:rPr>
        <w:t xml:space="preserve">, finalizzato a </w:t>
      </w:r>
      <w:r w:rsidRPr="00EC2721">
        <w:rPr>
          <w:rFonts w:ascii="Bookman Old Style" w:hAnsi="Bookman Old Style" w:cs="Times New Roman"/>
          <w:b/>
          <w:bCs/>
        </w:rPr>
        <w:t>rafforzare gli interventi del Piano nazionale di ripresa e resilienza (PNRR) da parte dei comuni con popolazione superiore a 600.000 abitanti</w:t>
      </w:r>
      <w:r>
        <w:rPr>
          <w:rFonts w:ascii="Bookman Old Style" w:hAnsi="Bookman Old Style" w:cs="Times New Roman"/>
        </w:rPr>
        <w:t xml:space="preserve"> (Torino, Milano, Roma, Napoli, Palermo).</w:t>
      </w:r>
    </w:p>
    <w:p w14:paraId="49DDC8AA" w14:textId="77777777" w:rsidR="00106028" w:rsidRPr="00EC2721" w:rsidRDefault="00106028" w:rsidP="00106028">
      <w:pPr>
        <w:rPr>
          <w:rFonts w:ascii="Bookman Old Style" w:hAnsi="Bookman Old Style" w:cs="Times New Roman"/>
        </w:rPr>
      </w:pPr>
      <w:r w:rsidRPr="00EC2721">
        <w:rPr>
          <w:rFonts w:ascii="Bookman Old Style" w:hAnsi="Bookman Old Style" w:cs="Times New Roman"/>
        </w:rPr>
        <w:t>Con uno o più decreti del Ministero dell’interno, di concerto con il MEF, da adottarsi entro 90 giorni dalla data di entrata in vigore del presente decreto, d’intesa con i comuni destinatari del finanziamento, sono individuati per ciascun comune il Piano degli interventi e adottate le relative schede progettuali degli interventi</w:t>
      </w:r>
      <w:r>
        <w:rPr>
          <w:rFonts w:ascii="Bookman Old Style" w:hAnsi="Bookman Old Style" w:cs="Times New Roman"/>
        </w:rPr>
        <w:t>, nonché le modalità di erogazione, monitoraggio e revoca delle risorse.</w:t>
      </w:r>
    </w:p>
    <w:p w14:paraId="5C680902" w14:textId="77777777" w:rsidR="00106028" w:rsidRPr="00EC2721" w:rsidRDefault="00106028" w:rsidP="00106028">
      <w:pPr>
        <w:spacing w:after="120" w:line="256" w:lineRule="auto"/>
        <w:rPr>
          <w:rFonts w:ascii="Bookman Old Style" w:eastAsia="Calibri" w:hAnsi="Bookman Old Style" w:cs="Times New Roman"/>
          <w:b/>
          <w:bCs/>
        </w:rPr>
      </w:pPr>
    </w:p>
    <w:p w14:paraId="1E2E771B" w14:textId="77777777" w:rsidR="00106028" w:rsidRPr="00EC2721" w:rsidRDefault="00106028" w:rsidP="00106028">
      <w:pPr>
        <w:pStyle w:val="Titolo2"/>
        <w:numPr>
          <w:ilvl w:val="0"/>
          <w:numId w:val="5"/>
        </w:numPr>
        <w:jc w:val="both"/>
        <w:rPr>
          <w:rFonts w:ascii="Bookman Old Style" w:hAnsi="Bookman Old Style" w:cs="Times New Roman"/>
          <w:szCs w:val="22"/>
        </w:rPr>
      </w:pPr>
      <w:bookmarkStart w:id="7" w:name="_Toc102064443"/>
      <w:bookmarkStart w:id="8" w:name="_Toc102404189"/>
      <w:r w:rsidRPr="00EC2721">
        <w:rPr>
          <w:rFonts w:ascii="Bookman Old Style" w:eastAsia="Calibri" w:hAnsi="Bookman Old Style" w:cs="Times New Roman"/>
          <w:bCs/>
          <w:i w:val="0"/>
          <w:color w:val="002060"/>
          <w:szCs w:val="22"/>
        </w:rPr>
        <w:t xml:space="preserve">Misure per il riequilibrio finanziario di province e città metropolitane </w:t>
      </w:r>
      <w:bookmarkEnd w:id="7"/>
      <w:bookmarkEnd w:id="8"/>
      <w:r w:rsidRPr="00EC2721">
        <w:rPr>
          <w:rFonts w:ascii="Bookman Old Style" w:eastAsia="Calibri" w:hAnsi="Bookman Old Style" w:cs="Times New Roman"/>
          <w:bCs/>
          <w:i w:val="0"/>
          <w:color w:val="002060"/>
          <w:szCs w:val="22"/>
        </w:rPr>
        <w:t>(Art. 4</w:t>
      </w:r>
      <w:r>
        <w:rPr>
          <w:rFonts w:ascii="Bookman Old Style" w:eastAsia="Calibri" w:hAnsi="Bookman Old Style" w:cs="Times New Roman"/>
          <w:bCs/>
          <w:i w:val="0"/>
          <w:color w:val="002060"/>
          <w:szCs w:val="22"/>
        </w:rPr>
        <w:t>3</w:t>
      </w:r>
      <w:r w:rsidRPr="00EC2721">
        <w:rPr>
          <w:rFonts w:ascii="Bookman Old Style" w:eastAsia="Calibri" w:hAnsi="Bookman Old Style" w:cs="Times New Roman"/>
          <w:bCs/>
          <w:i w:val="0"/>
          <w:color w:val="002060"/>
          <w:szCs w:val="22"/>
        </w:rPr>
        <w:t>, comma 1)</w:t>
      </w:r>
    </w:p>
    <w:p w14:paraId="779C176E" w14:textId="77777777" w:rsidR="00106028" w:rsidRPr="00EC2721" w:rsidRDefault="00106028" w:rsidP="00106028">
      <w:pPr>
        <w:rPr>
          <w:rFonts w:ascii="Bookman Old Style" w:hAnsi="Bookman Old Style"/>
          <w:b/>
          <w:bCs/>
          <w:color w:val="002060"/>
        </w:rPr>
      </w:pPr>
      <w:proofErr w:type="gramStart"/>
      <w:r w:rsidRPr="00EC2721">
        <w:rPr>
          <w:rFonts w:ascii="Bookman Old Style" w:hAnsi="Bookman Old Style"/>
        </w:rPr>
        <w:t xml:space="preserve">Per  </w:t>
      </w:r>
      <w:r w:rsidRPr="00EC2721">
        <w:rPr>
          <w:rFonts w:ascii="Bookman Old Style" w:hAnsi="Bookman Old Style"/>
          <w:b/>
          <w:bCs/>
        </w:rPr>
        <w:t>favorire</w:t>
      </w:r>
      <w:proofErr w:type="gramEnd"/>
      <w:r w:rsidRPr="00EC2721">
        <w:rPr>
          <w:rFonts w:ascii="Bookman Old Style" w:hAnsi="Bookman Old Style"/>
          <w:b/>
          <w:bCs/>
        </w:rPr>
        <w:t xml:space="preserve"> il riequilibrio finanziario delle province e delle città metropolitane che sono in procedura di rieq</w:t>
      </w:r>
      <w:bookmarkStart w:id="9" w:name="243-bis"/>
      <w:r w:rsidRPr="00EC2721">
        <w:rPr>
          <w:rFonts w:ascii="Bookman Old Style" w:hAnsi="Bookman Old Style"/>
          <w:b/>
          <w:bCs/>
        </w:rPr>
        <w:t>uilibrio</w:t>
      </w:r>
      <w:r w:rsidRPr="00EC2721">
        <w:rPr>
          <w:rFonts w:ascii="Bookman Old Style" w:hAnsi="Bookman Old Style"/>
        </w:rPr>
        <w:t xml:space="preserve"> ai sensi dell’articolo 243-</w:t>
      </w:r>
      <w:r w:rsidRPr="00EC2721">
        <w:rPr>
          <w:rFonts w:ascii="Bookman Old Style" w:hAnsi="Bookman Old Style"/>
          <w:i/>
          <w:iCs/>
        </w:rPr>
        <w:t>bis</w:t>
      </w:r>
      <w:bookmarkEnd w:id="9"/>
      <w:r w:rsidRPr="00EC2721">
        <w:rPr>
          <w:rFonts w:ascii="Bookman Old Style" w:hAnsi="Bookman Old Style"/>
        </w:rPr>
        <w:t xml:space="preserve"> del decreto legislativo 18 agosto 2000, n. 267 o che si trovano in stato dissesto finanziario ai sensi dell’articolo 244 </w:t>
      </w:r>
      <w:r w:rsidRPr="00EC2721">
        <w:rPr>
          <w:rFonts w:ascii="Bookman Old Style" w:hAnsi="Bookman Old Style"/>
        </w:rPr>
        <w:lastRenderedPageBreak/>
        <w:t xml:space="preserve">del medesimo decreto legislativo n. 267 del 2000, è istituito, presso il Ministero dell’interno, </w:t>
      </w:r>
      <w:r w:rsidRPr="00EC2721">
        <w:rPr>
          <w:rFonts w:ascii="Bookman Old Style" w:hAnsi="Bookman Old Style"/>
          <w:b/>
          <w:bCs/>
        </w:rPr>
        <w:t>un fondo con una dotazione di 30 milioni per l’anno 2022 e di 15 milioni di euro per l’anno 2023.</w:t>
      </w:r>
      <w:r w:rsidRPr="00EC2721">
        <w:rPr>
          <w:rFonts w:ascii="Bookman Old Style" w:hAnsi="Bookman Old Style"/>
        </w:rPr>
        <w:t xml:space="preserve">  </w:t>
      </w:r>
      <w:r>
        <w:rPr>
          <w:rFonts w:ascii="Bookman Old Style" w:hAnsi="Bookman Old Style"/>
        </w:rPr>
        <w:t xml:space="preserve">Il contributo, </w:t>
      </w:r>
      <w:r w:rsidRPr="00181744">
        <w:rPr>
          <w:rFonts w:ascii="Bookman Old Style" w:hAnsi="Bookman Old Style"/>
        </w:rPr>
        <w:t>prioritariamente destinato alla riduzione, anche anticipata, del disavanzo di amministrazione</w:t>
      </w:r>
      <w:r>
        <w:rPr>
          <w:rFonts w:ascii="Bookman Old Style" w:hAnsi="Bookman Old Style"/>
        </w:rPr>
        <w:t>, è ripartito entro il 30 giugno 2022, i</w:t>
      </w:r>
      <w:r w:rsidRPr="00A94ECD">
        <w:rPr>
          <w:rFonts w:ascii="Bookman Old Style" w:hAnsi="Bookman Old Style"/>
        </w:rPr>
        <w:t>n proporzione al disavanzo di amministrazione risultante dall'ultimo rendiconto approvato al netto del contributo ricevuto ai sensi dell’art. 52 del dl 73/2021.</w:t>
      </w:r>
      <w:r w:rsidRPr="00EC2721">
        <w:rPr>
          <w:rFonts w:ascii="Bookman Old Style" w:hAnsi="Bookman Old Style"/>
        </w:rPr>
        <w:t xml:space="preserve"> </w:t>
      </w:r>
      <w:r w:rsidRPr="00A94ECD">
        <w:rPr>
          <w:rFonts w:ascii="Bookman Old Style" w:hAnsi="Bookman Old Style"/>
        </w:rPr>
        <w:t>La nettizzazione del contributo non è effettuata per il disavanzo di amministrazione al 31 dicembre 2021.</w:t>
      </w:r>
    </w:p>
    <w:p w14:paraId="3A3BC1E2" w14:textId="77777777" w:rsidR="00106028" w:rsidRPr="00EC2721" w:rsidRDefault="00106028" w:rsidP="00106028">
      <w:pPr>
        <w:pStyle w:val="Titolo2"/>
        <w:numPr>
          <w:ilvl w:val="0"/>
          <w:numId w:val="5"/>
        </w:numPr>
        <w:spacing w:after="120" w:line="256" w:lineRule="auto"/>
        <w:jc w:val="both"/>
        <w:rPr>
          <w:rFonts w:ascii="Bookman Old Style" w:hAnsi="Bookman Old Style"/>
          <w:bCs/>
          <w:i w:val="0"/>
          <w:iCs/>
          <w:color w:val="002060"/>
          <w:szCs w:val="22"/>
        </w:rPr>
      </w:pPr>
      <w:r w:rsidRPr="00EC2721">
        <w:rPr>
          <w:rFonts w:ascii="Bookman Old Style" w:eastAsia="Calibri" w:hAnsi="Bookman Old Style" w:cs="Times New Roman"/>
          <w:bCs/>
          <w:i w:val="0"/>
          <w:color w:val="002060"/>
          <w:szCs w:val="22"/>
        </w:rPr>
        <w:t xml:space="preserve">Misure per il riequilibrio finanziario </w:t>
      </w:r>
      <w:r w:rsidRPr="00EC2721">
        <w:rPr>
          <w:rFonts w:ascii="Bookman Old Style" w:eastAsia="Calibri" w:hAnsi="Bookman Old Style" w:cs="Times New Roman"/>
          <w:bCs/>
          <w:i w:val="0"/>
          <w:iCs/>
          <w:color w:val="002060"/>
          <w:szCs w:val="22"/>
        </w:rPr>
        <w:t>comuni capoluogo di provincia (Art. 4</w:t>
      </w:r>
      <w:r>
        <w:rPr>
          <w:rFonts w:ascii="Bookman Old Style" w:eastAsia="Calibri" w:hAnsi="Bookman Old Style" w:cs="Times New Roman"/>
          <w:bCs/>
          <w:i w:val="0"/>
          <w:iCs/>
          <w:color w:val="002060"/>
          <w:szCs w:val="22"/>
        </w:rPr>
        <w:t>3</w:t>
      </w:r>
      <w:r w:rsidRPr="00EC2721">
        <w:rPr>
          <w:rFonts w:ascii="Bookman Old Style" w:eastAsia="Calibri" w:hAnsi="Bookman Old Style" w:cs="Times New Roman"/>
          <w:bCs/>
          <w:i w:val="0"/>
          <w:iCs/>
          <w:color w:val="002060"/>
          <w:szCs w:val="22"/>
        </w:rPr>
        <w:t>, commi 2-7)</w:t>
      </w:r>
    </w:p>
    <w:p w14:paraId="2189DCBC" w14:textId="77777777" w:rsidR="00106028" w:rsidRDefault="00106028" w:rsidP="00106028">
      <w:pPr>
        <w:spacing w:after="120" w:line="256" w:lineRule="auto"/>
        <w:rPr>
          <w:rFonts w:ascii="Bookman Old Style" w:hAnsi="Bookman Old Style"/>
          <w:b/>
          <w:bCs/>
        </w:rPr>
      </w:pPr>
      <w:r w:rsidRPr="00EC2721">
        <w:rPr>
          <w:rFonts w:ascii="Bookman Old Style" w:hAnsi="Bookman Old Style"/>
        </w:rPr>
        <w:t xml:space="preserve">Al fine di favorire il riequilibrio finanziario i </w:t>
      </w:r>
      <w:r w:rsidRPr="00EC2721">
        <w:rPr>
          <w:rFonts w:ascii="Bookman Old Style" w:hAnsi="Bookman Old Style"/>
          <w:b/>
          <w:bCs/>
        </w:rPr>
        <w:t xml:space="preserve">comuni capoluogo di provincia </w:t>
      </w:r>
      <w:r w:rsidRPr="00A94ECD">
        <w:rPr>
          <w:rFonts w:ascii="Bookman Old Style" w:hAnsi="Bookman Old Style"/>
        </w:rPr>
        <w:t>che hanno registrato un</w:t>
      </w:r>
      <w:r w:rsidRPr="00EC2721">
        <w:rPr>
          <w:rFonts w:ascii="Bookman Old Style" w:hAnsi="Bookman Old Style"/>
          <w:b/>
          <w:bCs/>
        </w:rPr>
        <w:t xml:space="preserve"> disavanzo di amministrazione pro capite superiore a 500 euro</w:t>
      </w:r>
      <w:r w:rsidRPr="00EC2721">
        <w:rPr>
          <w:rFonts w:ascii="Bookman Old Style" w:hAnsi="Bookman Old Style"/>
        </w:rPr>
        <w:t xml:space="preserve"> sulla base del disavanzo risultante dal rendiconto 2020, </w:t>
      </w:r>
      <w:r>
        <w:rPr>
          <w:rFonts w:ascii="Bookman Old Style" w:hAnsi="Bookman Old Style"/>
        </w:rPr>
        <w:t xml:space="preserve">ridotto del contributo eventualmente assegnato ai sensi del co. 568 della L. 234/2021, </w:t>
      </w:r>
      <w:r w:rsidRPr="00EC2721">
        <w:rPr>
          <w:rFonts w:ascii="Bookman Old Style" w:hAnsi="Bookman Old Style"/>
        </w:rPr>
        <w:t xml:space="preserve">entro 60 giorni dall’entrata in vigore del decreto </w:t>
      </w:r>
      <w:r w:rsidRPr="00EC2721">
        <w:rPr>
          <w:rFonts w:ascii="Bookman Old Style" w:hAnsi="Bookman Old Style"/>
          <w:b/>
          <w:bCs/>
        </w:rPr>
        <w:t xml:space="preserve">possono sottoscrivere un Accordo </w:t>
      </w:r>
      <w:r>
        <w:rPr>
          <w:rFonts w:ascii="Bookman Old Style" w:hAnsi="Bookman Old Style"/>
          <w:b/>
          <w:bCs/>
        </w:rPr>
        <w:t>con la</w:t>
      </w:r>
      <w:r w:rsidRPr="00EC2721">
        <w:rPr>
          <w:rFonts w:ascii="Bookman Old Style" w:hAnsi="Bookman Old Style"/>
          <w:b/>
          <w:bCs/>
        </w:rPr>
        <w:t xml:space="preserve"> Presiden</w:t>
      </w:r>
      <w:r>
        <w:rPr>
          <w:rFonts w:ascii="Bookman Old Style" w:hAnsi="Bookman Old Style"/>
          <w:b/>
          <w:bCs/>
        </w:rPr>
        <w:t>za</w:t>
      </w:r>
      <w:r w:rsidRPr="00EC2721">
        <w:rPr>
          <w:rFonts w:ascii="Bookman Old Style" w:hAnsi="Bookman Old Style"/>
          <w:b/>
          <w:bCs/>
        </w:rPr>
        <w:t xml:space="preserve"> del Consiglio</w:t>
      </w:r>
      <w:r>
        <w:rPr>
          <w:rFonts w:ascii="Bookman Old Style" w:hAnsi="Bookman Old Style"/>
          <w:b/>
          <w:bCs/>
        </w:rPr>
        <w:t xml:space="preserve"> dei ministri</w:t>
      </w:r>
      <w:r w:rsidRPr="00EC2721">
        <w:rPr>
          <w:rFonts w:ascii="Bookman Old Style" w:hAnsi="Bookman Old Style"/>
          <w:b/>
          <w:bCs/>
        </w:rPr>
        <w:t xml:space="preserve"> </w:t>
      </w:r>
      <w:r>
        <w:rPr>
          <w:rFonts w:ascii="Bookman Old Style" w:hAnsi="Bookman Old Style"/>
          <w:b/>
          <w:bCs/>
        </w:rPr>
        <w:t xml:space="preserve">con cui l’ente </w:t>
      </w:r>
      <w:r w:rsidRPr="00EC2721">
        <w:rPr>
          <w:rFonts w:ascii="Bookman Old Style" w:hAnsi="Bookman Old Style"/>
          <w:b/>
          <w:bCs/>
        </w:rPr>
        <w:t xml:space="preserve">si impegna, per il periodo nel quale è previsto il ripiano del disavanzo, a </w:t>
      </w:r>
      <w:proofErr w:type="gramStart"/>
      <w:r w:rsidRPr="00EC2721">
        <w:rPr>
          <w:rFonts w:ascii="Bookman Old Style" w:hAnsi="Bookman Old Style"/>
          <w:b/>
          <w:bCs/>
        </w:rPr>
        <w:t>porre in essere</w:t>
      </w:r>
      <w:proofErr w:type="gramEnd"/>
      <w:r w:rsidRPr="00EC2721">
        <w:rPr>
          <w:rFonts w:ascii="Bookman Old Style" w:hAnsi="Bookman Old Style"/>
          <w:b/>
          <w:bCs/>
        </w:rPr>
        <w:t xml:space="preserve"> </w:t>
      </w:r>
      <w:r>
        <w:rPr>
          <w:rFonts w:ascii="Bookman Old Style" w:hAnsi="Bookman Old Style"/>
          <w:b/>
          <w:bCs/>
        </w:rPr>
        <w:t xml:space="preserve">le </w:t>
      </w:r>
      <w:r w:rsidRPr="00EC2721">
        <w:rPr>
          <w:rFonts w:ascii="Bookman Old Style" w:hAnsi="Bookman Old Style"/>
          <w:b/>
          <w:bCs/>
        </w:rPr>
        <w:t>misure</w:t>
      </w:r>
      <w:r>
        <w:rPr>
          <w:rFonts w:ascii="Bookman Old Style" w:hAnsi="Bookman Old Style"/>
          <w:b/>
          <w:bCs/>
        </w:rPr>
        <w:t xml:space="preserve"> di cui all’art. 1, co. 572 della L. 234/2021, </w:t>
      </w:r>
      <w:r w:rsidRPr="00EC2721">
        <w:rPr>
          <w:rFonts w:ascii="Bookman Old Style" w:hAnsi="Bookman Old Style"/>
          <w:b/>
          <w:bCs/>
        </w:rPr>
        <w:t xml:space="preserve">necessarie al riequilibrio di bilancio. </w:t>
      </w:r>
    </w:p>
    <w:p w14:paraId="40E5E5C6" w14:textId="77777777" w:rsidR="00106028" w:rsidRPr="00A94ECD" w:rsidRDefault="00106028" w:rsidP="00106028">
      <w:pPr>
        <w:spacing w:after="120" w:line="256" w:lineRule="auto"/>
        <w:rPr>
          <w:rFonts w:ascii="Bookman Old Style" w:hAnsi="Bookman Old Style"/>
        </w:rPr>
      </w:pPr>
      <w:r>
        <w:rPr>
          <w:rFonts w:ascii="Bookman Old Style" w:hAnsi="Bookman Old Style"/>
        </w:rPr>
        <w:t>La stipula dell’accordo è subordinata alla verifica delle proposte dei comuni, entro i successivi 30 giorni, da parte di uno specifico tavolo tecnico.</w:t>
      </w:r>
    </w:p>
    <w:p w14:paraId="4EACAFBA" w14:textId="77777777" w:rsidR="00106028" w:rsidRDefault="00106028" w:rsidP="00106028">
      <w:pPr>
        <w:spacing w:after="120" w:line="256" w:lineRule="auto"/>
        <w:rPr>
          <w:rFonts w:ascii="Bookman Old Style" w:hAnsi="Bookman Old Style"/>
        </w:rPr>
      </w:pPr>
      <w:r w:rsidRPr="00A94ECD">
        <w:rPr>
          <w:rFonts w:ascii="Bookman Old Style" w:hAnsi="Bookman Old Style"/>
        </w:rPr>
        <w:t>Limitatamente ai casi di dissesto, per un periodo di due ann</w:t>
      </w:r>
      <w:r>
        <w:rPr>
          <w:rFonts w:ascii="Bookman Old Style" w:hAnsi="Bookman Old Style"/>
        </w:rPr>
        <w:t>i</w:t>
      </w:r>
      <w:r w:rsidRPr="00A94ECD">
        <w:rPr>
          <w:rFonts w:ascii="Bookman Old Style" w:hAnsi="Bookman Old Style"/>
        </w:rPr>
        <w:t xml:space="preserve"> sono sospese l</w:t>
      </w:r>
      <w:r>
        <w:rPr>
          <w:rFonts w:ascii="Bookman Old Style" w:hAnsi="Bookman Old Style"/>
        </w:rPr>
        <w:t>e</w:t>
      </w:r>
      <w:r w:rsidRPr="00A94ECD">
        <w:rPr>
          <w:rFonts w:ascii="Bookman Old Style" w:hAnsi="Bookman Old Style"/>
        </w:rPr>
        <w:t xml:space="preserve"> norme in materia di res</w:t>
      </w:r>
      <w:r>
        <w:rPr>
          <w:rFonts w:ascii="Bookman Old Style" w:hAnsi="Bookman Old Style"/>
        </w:rPr>
        <w:t>p</w:t>
      </w:r>
      <w:r w:rsidRPr="00A94ECD">
        <w:rPr>
          <w:rFonts w:ascii="Bookman Old Style" w:hAnsi="Bookman Old Style"/>
        </w:rPr>
        <w:t xml:space="preserve">onsabilità politica di cui all’art. 6, co. 2, del </w:t>
      </w:r>
      <w:proofErr w:type="spellStart"/>
      <w:r w:rsidRPr="00A94ECD">
        <w:rPr>
          <w:rFonts w:ascii="Bookman Old Style" w:hAnsi="Bookman Old Style"/>
        </w:rPr>
        <w:t>D.Lgs</w:t>
      </w:r>
      <w:proofErr w:type="spellEnd"/>
      <w:r w:rsidRPr="00A94ECD">
        <w:rPr>
          <w:rFonts w:ascii="Bookman Old Style" w:hAnsi="Bookman Old Style"/>
        </w:rPr>
        <w:t xml:space="preserve"> 149/2011.</w:t>
      </w:r>
    </w:p>
    <w:p w14:paraId="51DE4165" w14:textId="77777777" w:rsidR="00106028" w:rsidRPr="00EC2721" w:rsidRDefault="00106028" w:rsidP="00106028">
      <w:pPr>
        <w:spacing w:after="120" w:line="256" w:lineRule="auto"/>
        <w:rPr>
          <w:rFonts w:ascii="Bookman Old Style" w:hAnsi="Bookman Old Style"/>
          <w:b/>
          <w:bCs/>
          <w:color w:val="002060"/>
        </w:rPr>
      </w:pPr>
    </w:p>
    <w:p w14:paraId="567F9CD4" w14:textId="77777777" w:rsidR="00106028" w:rsidRPr="00EC2721" w:rsidRDefault="00106028" w:rsidP="00106028">
      <w:pPr>
        <w:pStyle w:val="Paragrafoelenco"/>
        <w:numPr>
          <w:ilvl w:val="0"/>
          <w:numId w:val="5"/>
        </w:numPr>
        <w:spacing w:after="120" w:line="256" w:lineRule="auto"/>
        <w:rPr>
          <w:rFonts w:ascii="Bookman Old Style" w:eastAsia="Calibri" w:hAnsi="Bookman Old Style" w:cs="Times New Roman"/>
          <w:b/>
          <w:bCs/>
          <w:color w:val="002060"/>
        </w:rPr>
      </w:pPr>
      <w:r>
        <w:rPr>
          <w:rFonts w:ascii="Bookman Old Style" w:eastAsia="Calibri" w:hAnsi="Bookman Old Style" w:cs="Times New Roman"/>
          <w:b/>
          <w:bCs/>
          <w:color w:val="002060"/>
        </w:rPr>
        <w:t>Ampliamento della facoltà di adottare un piano di risanamento</w:t>
      </w:r>
      <w:r w:rsidRPr="00EC2721">
        <w:rPr>
          <w:rFonts w:ascii="Bookman Old Style" w:eastAsia="Calibri" w:hAnsi="Bookman Old Style" w:cs="Times New Roman"/>
          <w:b/>
          <w:bCs/>
          <w:color w:val="002060"/>
        </w:rPr>
        <w:t xml:space="preserve"> (Art. 4</w:t>
      </w:r>
      <w:r>
        <w:rPr>
          <w:rFonts w:ascii="Bookman Old Style" w:eastAsia="Calibri" w:hAnsi="Bookman Old Style" w:cs="Times New Roman"/>
          <w:b/>
          <w:bCs/>
          <w:color w:val="002060"/>
        </w:rPr>
        <w:t>3</w:t>
      </w:r>
      <w:r w:rsidRPr="00EC2721">
        <w:rPr>
          <w:rFonts w:ascii="Bookman Old Style" w:eastAsia="Calibri" w:hAnsi="Bookman Old Style" w:cs="Times New Roman"/>
          <w:b/>
          <w:bCs/>
          <w:color w:val="002060"/>
        </w:rPr>
        <w:t>, comma 8)</w:t>
      </w:r>
    </w:p>
    <w:p w14:paraId="78B04262" w14:textId="77777777" w:rsidR="00106028" w:rsidRPr="00EC2721" w:rsidRDefault="00106028" w:rsidP="00106028">
      <w:pPr>
        <w:spacing w:after="120" w:line="256" w:lineRule="auto"/>
        <w:rPr>
          <w:rFonts w:ascii="Bookman Old Style" w:hAnsi="Bookman Old Style"/>
        </w:rPr>
      </w:pPr>
      <w:r w:rsidRPr="00EC2721">
        <w:rPr>
          <w:rFonts w:ascii="Bookman Old Style" w:hAnsi="Bookman Old Style"/>
        </w:rPr>
        <w:t>La procedura per il riequilibrio finanziario prevista nei commi da 2 a 7 dell’art. 4</w:t>
      </w:r>
      <w:r>
        <w:rPr>
          <w:rFonts w:ascii="Bookman Old Style" w:hAnsi="Bookman Old Style"/>
        </w:rPr>
        <w:t>3</w:t>
      </w:r>
      <w:r w:rsidRPr="00EC2721">
        <w:rPr>
          <w:rFonts w:ascii="Bookman Old Style" w:hAnsi="Bookman Old Style"/>
        </w:rPr>
        <w:t xml:space="preserve"> può essere attivata altresì dai </w:t>
      </w:r>
      <w:r w:rsidRPr="00EC2721">
        <w:rPr>
          <w:rFonts w:ascii="Bookman Old Style" w:hAnsi="Bookman Old Style"/>
          <w:b/>
          <w:bCs/>
        </w:rPr>
        <w:t>comuni sede di città metropolitana diversi da quelli di cui al comma 567</w:t>
      </w:r>
      <w:r w:rsidRPr="00EC2721">
        <w:rPr>
          <w:rFonts w:ascii="Bookman Old Style" w:hAnsi="Bookman Old Style"/>
        </w:rPr>
        <w:t xml:space="preserve"> della legge 234/2021 nonché dai </w:t>
      </w:r>
      <w:r w:rsidRPr="00EC2721">
        <w:rPr>
          <w:rFonts w:ascii="Bookman Old Style" w:hAnsi="Bookman Old Style"/>
          <w:b/>
          <w:bCs/>
        </w:rPr>
        <w:t>comuni capoluogo di provincia</w:t>
      </w:r>
      <w:r>
        <w:rPr>
          <w:rFonts w:ascii="Bookman Old Style" w:hAnsi="Bookman Old Style"/>
          <w:b/>
          <w:bCs/>
        </w:rPr>
        <w:t xml:space="preserve"> che non abbiano attivato le procedure dei citati commi 2-7,</w:t>
      </w:r>
      <w:r w:rsidRPr="00EC2721">
        <w:rPr>
          <w:rFonts w:ascii="Bookman Old Style" w:hAnsi="Bookman Old Style"/>
          <w:b/>
          <w:bCs/>
        </w:rPr>
        <w:t xml:space="preserve"> con un debito pro capite superiore a 1000 euro</w:t>
      </w:r>
      <w:r w:rsidRPr="00EC2721">
        <w:rPr>
          <w:rFonts w:ascii="Bookman Old Style" w:hAnsi="Bookman Old Style"/>
        </w:rPr>
        <w:t xml:space="preserve"> sulla base del disavanzo risultante dal rendiconto 2020 definitivamente approvato e trasmesso al BDAP entro il 30 aprile 2022, che intendano avviare un percorso di riequilibrio strutturale.</w:t>
      </w:r>
    </w:p>
    <w:p w14:paraId="1CEFB3D9" w14:textId="77777777" w:rsidR="00106028" w:rsidRPr="00EC2721" w:rsidRDefault="00106028" w:rsidP="00106028">
      <w:pPr>
        <w:spacing w:after="120" w:line="256" w:lineRule="auto"/>
        <w:rPr>
          <w:rFonts w:ascii="Bookman Old Style" w:hAnsi="Bookman Old Style"/>
          <w:b/>
          <w:bCs/>
          <w:color w:val="002060"/>
        </w:rPr>
      </w:pPr>
    </w:p>
    <w:p w14:paraId="32D34441" w14:textId="77777777" w:rsidR="00106028" w:rsidRPr="00EC2721" w:rsidRDefault="00106028" w:rsidP="00106028">
      <w:pPr>
        <w:pStyle w:val="Paragrafoelenco"/>
        <w:numPr>
          <w:ilvl w:val="0"/>
          <w:numId w:val="6"/>
        </w:numPr>
        <w:spacing w:after="120" w:line="256" w:lineRule="auto"/>
        <w:rPr>
          <w:rFonts w:ascii="Bookman Old Style" w:hAnsi="Bookman Old Style"/>
          <w:b/>
          <w:bCs/>
          <w:color w:val="002060"/>
        </w:rPr>
      </w:pPr>
      <w:r w:rsidRPr="00EC2721">
        <w:rPr>
          <w:rFonts w:ascii="Bookman Old Style" w:hAnsi="Bookman Old Style"/>
          <w:b/>
          <w:bCs/>
          <w:color w:val="002060"/>
        </w:rPr>
        <w:t>Delibere TARI (PEF-regolamento-tariffe) allineate con termini di approvazione del bilancio (Art. 4</w:t>
      </w:r>
      <w:r>
        <w:rPr>
          <w:rFonts w:ascii="Bookman Old Style" w:hAnsi="Bookman Old Style"/>
          <w:b/>
          <w:bCs/>
          <w:color w:val="002060"/>
        </w:rPr>
        <w:t>3</w:t>
      </w:r>
      <w:r w:rsidRPr="00EC2721">
        <w:rPr>
          <w:rFonts w:ascii="Bookman Old Style" w:hAnsi="Bookman Old Style"/>
          <w:b/>
          <w:bCs/>
          <w:color w:val="002060"/>
        </w:rPr>
        <w:t>, comma 11)</w:t>
      </w:r>
    </w:p>
    <w:p w14:paraId="6DEE42D5" w14:textId="77777777" w:rsidR="00106028" w:rsidRDefault="00106028" w:rsidP="00106028">
      <w:pPr>
        <w:spacing w:after="120" w:line="252" w:lineRule="auto"/>
        <w:rPr>
          <w:rFonts w:ascii="Bookman Old Style" w:hAnsi="Bookman Old Style"/>
        </w:rPr>
      </w:pPr>
      <w:r>
        <w:rPr>
          <w:rFonts w:ascii="Bookman Old Style" w:hAnsi="Bookman Old Style"/>
        </w:rPr>
        <w:t xml:space="preserve">Il termine per l’approvazione delle delibere di approvazione delle delibere tariffarie sul prelievo sui rifiuti, dei regolamenti e dei PEF viene strutturalmente </w:t>
      </w:r>
      <w:r>
        <w:rPr>
          <w:rFonts w:ascii="Bookman Old Style" w:hAnsi="Bookman Old Style"/>
          <w:i/>
          <w:iCs/>
        </w:rPr>
        <w:t>ex lege</w:t>
      </w:r>
      <w:r>
        <w:rPr>
          <w:rFonts w:ascii="Bookman Old Style" w:hAnsi="Bookman Old Style"/>
        </w:rPr>
        <w:t xml:space="preserve"> allineato al termine di approvazione del bilancio di previsione se lo stesso è successivo al 30 aprile. Di conseguenza, a seguito delle ultime modifiche legislative, per l’anno in corso il termine è al 31 maggio 2022.</w:t>
      </w:r>
      <w:r>
        <w:rPr>
          <w:rFonts w:cs="Times New Roman"/>
        </w:rPr>
        <w:t xml:space="preserve"> </w:t>
      </w:r>
    </w:p>
    <w:p w14:paraId="6886E1AF" w14:textId="77777777" w:rsidR="00106028" w:rsidRDefault="00106028" w:rsidP="00106028">
      <w:pPr>
        <w:spacing w:after="120" w:line="252" w:lineRule="auto"/>
        <w:rPr>
          <w:rFonts w:ascii="Bookman Old Style" w:hAnsi="Bookman Old Style"/>
        </w:rPr>
      </w:pPr>
      <w:r>
        <w:rPr>
          <w:rFonts w:ascii="Bookman Old Style" w:hAnsi="Bookman Old Style"/>
        </w:rPr>
        <w:t>La norma in questione dispone inoltre che i Comuni che abbiano già approvato i propri bilanci di previsione possano effettuare una semplice variazione di bilancio per recepire gli eventuali effetti della successiva deliberazione dei provvedimenti relativi alla TARI, anziché dover procedere ad una riapprovazione dello stesso.</w:t>
      </w:r>
    </w:p>
    <w:p w14:paraId="005F291A" w14:textId="77777777" w:rsidR="00207F50" w:rsidRPr="00EC2721" w:rsidRDefault="00207F50" w:rsidP="00E21511">
      <w:pPr>
        <w:spacing w:line="252" w:lineRule="auto"/>
        <w:contextualSpacing/>
        <w:rPr>
          <w:rFonts w:ascii="Bookman Old Style" w:hAnsi="Bookman Old Style"/>
          <w:b/>
          <w:bCs/>
          <w:color w:val="002060"/>
        </w:rPr>
      </w:pPr>
    </w:p>
    <w:p w14:paraId="202424E9" w14:textId="314FBB19" w:rsidR="00207F50" w:rsidRPr="00EC2721" w:rsidRDefault="00235DA2" w:rsidP="00E21511">
      <w:pPr>
        <w:spacing w:line="252" w:lineRule="auto"/>
        <w:contextualSpacing/>
        <w:rPr>
          <w:rFonts w:ascii="Bookman Old Style" w:hAnsi="Bookman Old Style"/>
          <w:b/>
          <w:bCs/>
          <w:color w:val="002060"/>
        </w:rPr>
      </w:pPr>
      <w:r w:rsidRPr="00EC2721">
        <w:rPr>
          <w:rFonts w:ascii="Bookman Old Style" w:hAnsi="Bookman Old Style"/>
          <w:b/>
          <w:bCs/>
          <w:color w:val="002060"/>
        </w:rPr>
        <w:t>DISPOSIZIONI IN RELAZIONE ALLA CRISI UCRAINA</w:t>
      </w:r>
    </w:p>
    <w:p w14:paraId="5AC9751D" w14:textId="77777777" w:rsidR="00235DA2" w:rsidRPr="00EC2721" w:rsidRDefault="00235DA2" w:rsidP="00E21511">
      <w:pPr>
        <w:spacing w:line="252" w:lineRule="auto"/>
        <w:contextualSpacing/>
        <w:rPr>
          <w:rFonts w:ascii="Bookman Old Style" w:hAnsi="Bookman Old Style"/>
          <w:b/>
          <w:bCs/>
          <w:color w:val="002060"/>
        </w:rPr>
      </w:pPr>
    </w:p>
    <w:bookmarkEnd w:id="0"/>
    <w:p w14:paraId="78864EB3" w14:textId="77777777" w:rsidR="001E3EE1" w:rsidRPr="00EC2721" w:rsidRDefault="001E3EE1" w:rsidP="001E3EE1">
      <w:pPr>
        <w:spacing w:line="252" w:lineRule="auto"/>
        <w:ind w:left="720"/>
        <w:contextualSpacing/>
        <w:jc w:val="left"/>
        <w:rPr>
          <w:rFonts w:ascii="Bookman Old Style" w:eastAsia="Calibri" w:hAnsi="Bookman Old Style" w:cs="Times New Roman"/>
          <w:b/>
          <w:bCs/>
          <w:color w:val="002060"/>
        </w:rPr>
      </w:pPr>
    </w:p>
    <w:p w14:paraId="650F2597" w14:textId="4ECC5141" w:rsidR="000813A7" w:rsidRPr="00EC2721" w:rsidRDefault="00662ED9" w:rsidP="00230941">
      <w:pPr>
        <w:pStyle w:val="Titolo2"/>
        <w:numPr>
          <w:ilvl w:val="0"/>
          <w:numId w:val="5"/>
        </w:numPr>
        <w:spacing w:before="0"/>
        <w:jc w:val="both"/>
        <w:rPr>
          <w:rFonts w:ascii="Bookman Old Style" w:eastAsia="Calibri" w:hAnsi="Bookman Old Style" w:cs="Times New Roman"/>
          <w:bCs/>
          <w:i w:val="0"/>
          <w:color w:val="002060"/>
          <w:szCs w:val="22"/>
        </w:rPr>
      </w:pPr>
      <w:bookmarkStart w:id="10" w:name="_Toc102404191"/>
      <w:r w:rsidRPr="00EC2721">
        <w:rPr>
          <w:rFonts w:ascii="Bookman Old Style" w:eastAsia="Calibri" w:hAnsi="Bookman Old Style" w:cs="Times New Roman"/>
          <w:bCs/>
          <w:i w:val="0"/>
          <w:color w:val="002060"/>
          <w:szCs w:val="22"/>
        </w:rPr>
        <w:t xml:space="preserve">Contributo una tantum ai Comuni per </w:t>
      </w:r>
      <w:r w:rsidR="00D661E1" w:rsidRPr="00EC2721">
        <w:rPr>
          <w:rFonts w:ascii="Bookman Old Style" w:eastAsia="Calibri" w:hAnsi="Bookman Old Style" w:cs="Times New Roman"/>
          <w:bCs/>
          <w:i w:val="0"/>
          <w:color w:val="002060"/>
          <w:szCs w:val="22"/>
        </w:rPr>
        <w:t>maggior spesa sociale collegata all’accoglienza di rifug</w:t>
      </w:r>
      <w:r w:rsidR="000813A7" w:rsidRPr="00EC2721">
        <w:rPr>
          <w:rFonts w:ascii="Bookman Old Style" w:eastAsia="Calibri" w:hAnsi="Bookman Old Style" w:cs="Times New Roman"/>
          <w:bCs/>
          <w:i w:val="0"/>
          <w:color w:val="002060"/>
          <w:szCs w:val="22"/>
        </w:rPr>
        <w:t>iati</w:t>
      </w:r>
      <w:r w:rsidR="00D661E1" w:rsidRPr="00EC2721">
        <w:rPr>
          <w:rFonts w:ascii="Bookman Old Style" w:eastAsia="Calibri" w:hAnsi="Bookman Old Style" w:cs="Times New Roman"/>
          <w:bCs/>
          <w:i w:val="0"/>
          <w:color w:val="002060"/>
          <w:szCs w:val="22"/>
        </w:rPr>
        <w:t xml:space="preserve"> dall’Ucraina (Art. 4</w:t>
      </w:r>
      <w:r w:rsidR="004041B6">
        <w:rPr>
          <w:rFonts w:ascii="Bookman Old Style" w:eastAsia="Calibri" w:hAnsi="Bookman Old Style" w:cs="Times New Roman"/>
          <w:bCs/>
          <w:i w:val="0"/>
          <w:color w:val="002060"/>
          <w:szCs w:val="22"/>
        </w:rPr>
        <w:t>4</w:t>
      </w:r>
      <w:r w:rsidR="00D661E1" w:rsidRPr="00EC2721">
        <w:rPr>
          <w:rFonts w:ascii="Bookman Old Style" w:eastAsia="Calibri" w:hAnsi="Bookman Old Style" w:cs="Times New Roman"/>
          <w:bCs/>
          <w:i w:val="0"/>
          <w:color w:val="002060"/>
          <w:szCs w:val="22"/>
        </w:rPr>
        <w:t>, comma 4</w:t>
      </w:r>
      <w:r w:rsidR="000813A7" w:rsidRPr="00EC2721">
        <w:rPr>
          <w:rFonts w:ascii="Bookman Old Style" w:eastAsia="Calibri" w:hAnsi="Bookman Old Style" w:cs="Times New Roman"/>
          <w:bCs/>
          <w:i w:val="0"/>
          <w:color w:val="002060"/>
          <w:szCs w:val="22"/>
        </w:rPr>
        <w:t>).</w:t>
      </w:r>
    </w:p>
    <w:bookmarkEnd w:id="10"/>
    <w:p w14:paraId="54FE4689" w14:textId="4895F999" w:rsidR="00527B72" w:rsidRPr="00EC2721" w:rsidRDefault="000813A7" w:rsidP="00527B72">
      <w:pPr>
        <w:pStyle w:val="paragraph"/>
        <w:spacing w:before="0" w:beforeAutospacing="0" w:after="0" w:afterAutospacing="0"/>
        <w:jc w:val="both"/>
        <w:textAlignment w:val="baseline"/>
        <w:rPr>
          <w:rStyle w:val="normaltextrun"/>
          <w:rFonts w:ascii="Bookman Old Style" w:hAnsi="Bookman Old Style"/>
          <w:sz w:val="22"/>
          <w:szCs w:val="22"/>
        </w:rPr>
      </w:pPr>
      <w:r w:rsidRPr="00EC2721">
        <w:rPr>
          <w:rStyle w:val="normaltextrun"/>
          <w:rFonts w:ascii="Bookman Old Style" w:hAnsi="Bookman Old Style"/>
          <w:sz w:val="22"/>
          <w:szCs w:val="22"/>
        </w:rPr>
        <w:t>Per</w:t>
      </w:r>
      <w:r w:rsidR="00527B72" w:rsidRPr="00EC2721">
        <w:rPr>
          <w:rStyle w:val="normaltextrun"/>
          <w:rFonts w:ascii="Bookman Old Style" w:hAnsi="Bookman Old Style"/>
          <w:sz w:val="22"/>
          <w:szCs w:val="22"/>
        </w:rPr>
        <w:t xml:space="preserve"> rafforzare l’offerta di servizi sociali da parte dei Comuni ospitanti un significativo numero di persone richiedenti il permesso di protezione temporanea di cui al decreto del Presidente del Consiglio dei ministri 28 marzo 2022, da definire sia in termini percentuali che assoluti in considerazione dell’impatto sulla gestione dei servizi sociali, </w:t>
      </w:r>
      <w:r w:rsidR="00527B72" w:rsidRPr="00EC2721">
        <w:rPr>
          <w:rStyle w:val="normaltextrun"/>
          <w:rFonts w:ascii="Bookman Old Style" w:hAnsi="Bookman Old Style"/>
          <w:b/>
          <w:bCs/>
          <w:sz w:val="22"/>
          <w:szCs w:val="22"/>
        </w:rPr>
        <w:t>il Dipartimento della protezione civile della Presidenza del Consiglio dei ministri è autorizzato ad assegnare, nel limite di 40.000.000 euro per l’anno 2022, un contributo forfetario una tantum in favore d</w:t>
      </w:r>
      <w:r w:rsidR="00D51794" w:rsidRPr="00EC2721">
        <w:rPr>
          <w:rStyle w:val="normaltextrun"/>
          <w:rFonts w:ascii="Bookman Old Style" w:hAnsi="Bookman Old Style"/>
          <w:b/>
          <w:bCs/>
          <w:sz w:val="22"/>
          <w:szCs w:val="22"/>
        </w:rPr>
        <w:t>i tali</w:t>
      </w:r>
      <w:r w:rsidR="00527B72" w:rsidRPr="00EC2721">
        <w:rPr>
          <w:rStyle w:val="normaltextrun"/>
          <w:rFonts w:ascii="Bookman Old Style" w:hAnsi="Bookman Old Style"/>
          <w:b/>
          <w:bCs/>
          <w:sz w:val="22"/>
          <w:szCs w:val="22"/>
        </w:rPr>
        <w:t xml:space="preserve"> Comuni</w:t>
      </w:r>
      <w:r w:rsidR="00D51794" w:rsidRPr="00EC2721">
        <w:rPr>
          <w:rStyle w:val="normaltextrun"/>
          <w:rFonts w:ascii="Bookman Old Style" w:hAnsi="Bookman Old Style"/>
          <w:sz w:val="22"/>
          <w:szCs w:val="22"/>
        </w:rPr>
        <w:t xml:space="preserve">. Per la </w:t>
      </w:r>
      <w:r w:rsidR="00527B72" w:rsidRPr="00EC2721">
        <w:rPr>
          <w:rStyle w:val="normaltextrun"/>
          <w:rFonts w:ascii="Bookman Old Style" w:hAnsi="Bookman Old Style"/>
          <w:sz w:val="22"/>
          <w:szCs w:val="22"/>
        </w:rPr>
        <w:t>definizione dei criteri e modalità di riparto del contributo si provvede con ordinanze di protezione civile adottate in attuazione della deliberazione del Consiglio dei ministri 28 febbraio 2022.</w:t>
      </w:r>
    </w:p>
    <w:p w14:paraId="1519454D" w14:textId="77777777" w:rsidR="0093534F" w:rsidRPr="00EC2721" w:rsidRDefault="0093534F" w:rsidP="001E3EE1">
      <w:pPr>
        <w:spacing w:after="120" w:line="256" w:lineRule="auto"/>
        <w:rPr>
          <w:rFonts w:ascii="Bookman Old Style" w:eastAsia="Calibri" w:hAnsi="Bookman Old Style" w:cs="Times New Roman"/>
          <w:b/>
          <w:bCs/>
        </w:rPr>
      </w:pPr>
    </w:p>
    <w:p w14:paraId="54BD8E42" w14:textId="46686A5B" w:rsidR="001E3EE1" w:rsidRPr="00EC2721" w:rsidRDefault="001E3EE1" w:rsidP="001E3EE1">
      <w:pPr>
        <w:spacing w:before="100" w:beforeAutospacing="1" w:after="100" w:afterAutospacing="1"/>
        <w:rPr>
          <w:rFonts w:ascii="Bookman Old Style" w:eastAsia="Calibri" w:hAnsi="Bookman Old Style" w:cs="Times New Roman"/>
        </w:rPr>
      </w:pPr>
    </w:p>
    <w:sectPr w:rsidR="001E3EE1" w:rsidRPr="00EC2721" w:rsidSect="00E36A90">
      <w:footerReference w:type="defaul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6425B" w14:textId="77777777" w:rsidR="001F2498" w:rsidRDefault="001F2498" w:rsidP="00E36A90">
      <w:r>
        <w:separator/>
      </w:r>
    </w:p>
  </w:endnote>
  <w:endnote w:type="continuationSeparator" w:id="0">
    <w:p w14:paraId="024CE1BE" w14:textId="77777777" w:rsidR="001F2498" w:rsidRDefault="001F2498" w:rsidP="00E36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315"/>
      <w:docPartObj>
        <w:docPartGallery w:val="Page Numbers (Bottom of Page)"/>
        <w:docPartUnique/>
      </w:docPartObj>
    </w:sdtPr>
    <w:sdtEndPr/>
    <w:sdtContent>
      <w:p w14:paraId="7E8E96AE" w14:textId="189ABBAE" w:rsidR="00E36A90" w:rsidRDefault="00E36A90">
        <w:pPr>
          <w:pStyle w:val="Pidipagina"/>
          <w:jc w:val="center"/>
        </w:pPr>
        <w:r>
          <w:fldChar w:fldCharType="begin"/>
        </w:r>
        <w:r>
          <w:instrText>PAGE   \* MERGEFORMAT</w:instrText>
        </w:r>
        <w:r>
          <w:fldChar w:fldCharType="separate"/>
        </w:r>
        <w:r>
          <w:t>2</w:t>
        </w:r>
        <w:r>
          <w:fldChar w:fldCharType="end"/>
        </w:r>
      </w:p>
    </w:sdtContent>
  </w:sdt>
  <w:p w14:paraId="5BD32C07" w14:textId="77777777" w:rsidR="00E36A90" w:rsidRDefault="00E36A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96838" w14:textId="77777777" w:rsidR="001F2498" w:rsidRDefault="001F2498" w:rsidP="00E36A90">
      <w:r>
        <w:separator/>
      </w:r>
    </w:p>
  </w:footnote>
  <w:footnote w:type="continuationSeparator" w:id="0">
    <w:p w14:paraId="6B44A82C" w14:textId="77777777" w:rsidR="001F2498" w:rsidRDefault="001F2498" w:rsidP="00E36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2561"/>
    <w:multiLevelType w:val="hybridMultilevel"/>
    <w:tmpl w:val="BBFE9D2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510A80"/>
    <w:multiLevelType w:val="hybridMultilevel"/>
    <w:tmpl w:val="A02E8B8C"/>
    <w:lvl w:ilvl="0" w:tplc="23BE9DF4">
      <w:start w:val="8"/>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329D70C1"/>
    <w:multiLevelType w:val="hybridMultilevel"/>
    <w:tmpl w:val="CFCC7EDC"/>
    <w:lvl w:ilvl="0" w:tplc="79A06946">
      <w:start w:val="6"/>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5250FF2"/>
    <w:multiLevelType w:val="hybridMultilevel"/>
    <w:tmpl w:val="9E804586"/>
    <w:lvl w:ilvl="0" w:tplc="0410000F">
      <w:start w:val="1"/>
      <w:numFmt w:val="decimal"/>
      <w:lvlText w:val="%1."/>
      <w:lvlJc w:val="left"/>
      <w:pPr>
        <w:ind w:left="1070" w:hanging="360"/>
      </w:pPr>
    </w:lvl>
    <w:lvl w:ilvl="1" w:tplc="04100019">
      <w:start w:val="1"/>
      <w:numFmt w:val="lowerLetter"/>
      <w:lvlText w:val="%2."/>
      <w:lvlJc w:val="left"/>
      <w:pPr>
        <w:ind w:left="1790" w:hanging="360"/>
      </w:pPr>
    </w:lvl>
    <w:lvl w:ilvl="2" w:tplc="0410001B">
      <w:start w:val="1"/>
      <w:numFmt w:val="lowerRoman"/>
      <w:lvlText w:val="%3."/>
      <w:lvlJc w:val="right"/>
      <w:pPr>
        <w:ind w:left="2510" w:hanging="180"/>
      </w:pPr>
    </w:lvl>
    <w:lvl w:ilvl="3" w:tplc="0410000F">
      <w:start w:val="1"/>
      <w:numFmt w:val="decimal"/>
      <w:lvlText w:val="%4."/>
      <w:lvlJc w:val="left"/>
      <w:pPr>
        <w:ind w:left="3230" w:hanging="360"/>
      </w:pPr>
    </w:lvl>
    <w:lvl w:ilvl="4" w:tplc="04100019">
      <w:start w:val="1"/>
      <w:numFmt w:val="lowerLetter"/>
      <w:lvlText w:val="%5."/>
      <w:lvlJc w:val="left"/>
      <w:pPr>
        <w:ind w:left="3950" w:hanging="360"/>
      </w:pPr>
    </w:lvl>
    <w:lvl w:ilvl="5" w:tplc="0410001B">
      <w:start w:val="1"/>
      <w:numFmt w:val="lowerRoman"/>
      <w:lvlText w:val="%6."/>
      <w:lvlJc w:val="right"/>
      <w:pPr>
        <w:ind w:left="4670" w:hanging="180"/>
      </w:pPr>
    </w:lvl>
    <w:lvl w:ilvl="6" w:tplc="0410000F">
      <w:start w:val="1"/>
      <w:numFmt w:val="decimal"/>
      <w:lvlText w:val="%7."/>
      <w:lvlJc w:val="left"/>
      <w:pPr>
        <w:ind w:left="5390" w:hanging="360"/>
      </w:pPr>
    </w:lvl>
    <w:lvl w:ilvl="7" w:tplc="04100019">
      <w:start w:val="1"/>
      <w:numFmt w:val="lowerLetter"/>
      <w:lvlText w:val="%8."/>
      <w:lvlJc w:val="left"/>
      <w:pPr>
        <w:ind w:left="6110" w:hanging="360"/>
      </w:pPr>
    </w:lvl>
    <w:lvl w:ilvl="8" w:tplc="0410001B">
      <w:start w:val="1"/>
      <w:numFmt w:val="lowerRoman"/>
      <w:lvlText w:val="%9."/>
      <w:lvlJc w:val="right"/>
      <w:pPr>
        <w:ind w:left="6830" w:hanging="180"/>
      </w:pPr>
    </w:lvl>
  </w:abstractNum>
  <w:abstractNum w:abstractNumId="4" w15:restartNumberingAfterBreak="0">
    <w:nsid w:val="3DF761E2"/>
    <w:multiLevelType w:val="hybridMultilevel"/>
    <w:tmpl w:val="F14A31D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4C2863E7"/>
    <w:multiLevelType w:val="hybridMultilevel"/>
    <w:tmpl w:val="D19610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CFA06E1"/>
    <w:multiLevelType w:val="hybridMultilevel"/>
    <w:tmpl w:val="A0FA24BE"/>
    <w:lvl w:ilvl="0" w:tplc="122A40BA">
      <w:start w:val="770"/>
      <w:numFmt w:val="bullet"/>
      <w:lvlText w:val="-"/>
      <w:lvlJc w:val="left"/>
      <w:pPr>
        <w:ind w:left="720" w:hanging="360"/>
      </w:pPr>
      <w:rPr>
        <w:rFonts w:ascii="Open Sans" w:eastAsia="Times New Roman" w:hAnsi="Open Sans" w:cs="Open San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4330A36"/>
    <w:multiLevelType w:val="hybridMultilevel"/>
    <w:tmpl w:val="DC88F60A"/>
    <w:lvl w:ilvl="0" w:tplc="9C364084">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92E1A5A"/>
    <w:multiLevelType w:val="hybridMultilevel"/>
    <w:tmpl w:val="59685D4A"/>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5086711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8028523">
    <w:abstractNumId w:val="2"/>
  </w:num>
  <w:num w:numId="3" w16cid:durableId="773016745">
    <w:abstractNumId w:val="1"/>
  </w:num>
  <w:num w:numId="4" w16cid:durableId="804540471">
    <w:abstractNumId w:val="7"/>
  </w:num>
  <w:num w:numId="5" w16cid:durableId="1808888882">
    <w:abstractNumId w:val="0"/>
  </w:num>
  <w:num w:numId="6" w16cid:durableId="108861406">
    <w:abstractNumId w:val="5"/>
  </w:num>
  <w:num w:numId="7" w16cid:durableId="2066028039">
    <w:abstractNumId w:val="4"/>
  </w:num>
  <w:num w:numId="8" w16cid:durableId="1757051589">
    <w:abstractNumId w:val="0"/>
  </w:num>
  <w:num w:numId="9" w16cid:durableId="1452557618">
    <w:abstractNumId w:val="8"/>
  </w:num>
  <w:num w:numId="10" w16cid:durableId="1095398168">
    <w:abstractNumId w:val="6"/>
  </w:num>
  <w:num w:numId="11" w16cid:durableId="1976448287">
    <w:abstractNumId w:val="0"/>
  </w:num>
  <w:num w:numId="12" w16cid:durableId="561865244">
    <w:abstractNumId w:val="6"/>
  </w:num>
  <w:num w:numId="13" w16cid:durableId="1278028928">
    <w:abstractNumId w:val="0"/>
  </w:num>
  <w:num w:numId="14" w16cid:durableId="6161064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61"/>
    <w:rsid w:val="0001290A"/>
    <w:rsid w:val="000318DB"/>
    <w:rsid w:val="000329B4"/>
    <w:rsid w:val="0004187A"/>
    <w:rsid w:val="00042EA5"/>
    <w:rsid w:val="00080316"/>
    <w:rsid w:val="000813A7"/>
    <w:rsid w:val="00095C8F"/>
    <w:rsid w:val="000A006C"/>
    <w:rsid w:val="000B6EF6"/>
    <w:rsid w:val="000C4DBA"/>
    <w:rsid w:val="000E4399"/>
    <w:rsid w:val="000E5C52"/>
    <w:rsid w:val="00106028"/>
    <w:rsid w:val="00115ED8"/>
    <w:rsid w:val="00123399"/>
    <w:rsid w:val="00134A91"/>
    <w:rsid w:val="00144E11"/>
    <w:rsid w:val="00153AD9"/>
    <w:rsid w:val="001752B2"/>
    <w:rsid w:val="00183CAF"/>
    <w:rsid w:val="00190020"/>
    <w:rsid w:val="00197FA8"/>
    <w:rsid w:val="001C01C8"/>
    <w:rsid w:val="001C0833"/>
    <w:rsid w:val="001C3993"/>
    <w:rsid w:val="001E3EE1"/>
    <w:rsid w:val="001F2498"/>
    <w:rsid w:val="001F2EAD"/>
    <w:rsid w:val="00207F50"/>
    <w:rsid w:val="00213BD9"/>
    <w:rsid w:val="00230941"/>
    <w:rsid w:val="00231316"/>
    <w:rsid w:val="00235DA2"/>
    <w:rsid w:val="00244B19"/>
    <w:rsid w:val="0024615B"/>
    <w:rsid w:val="00254173"/>
    <w:rsid w:val="002614D2"/>
    <w:rsid w:val="00286DF3"/>
    <w:rsid w:val="00294673"/>
    <w:rsid w:val="002946D3"/>
    <w:rsid w:val="002A4720"/>
    <w:rsid w:val="002A7B6B"/>
    <w:rsid w:val="002C4DC5"/>
    <w:rsid w:val="002C74BE"/>
    <w:rsid w:val="002D79C0"/>
    <w:rsid w:val="002E0C82"/>
    <w:rsid w:val="002E7E0C"/>
    <w:rsid w:val="002F4693"/>
    <w:rsid w:val="00300316"/>
    <w:rsid w:val="00311E71"/>
    <w:rsid w:val="00323988"/>
    <w:rsid w:val="00331C70"/>
    <w:rsid w:val="00341081"/>
    <w:rsid w:val="00352C35"/>
    <w:rsid w:val="003613EE"/>
    <w:rsid w:val="00365903"/>
    <w:rsid w:val="00365AB1"/>
    <w:rsid w:val="00394081"/>
    <w:rsid w:val="00396580"/>
    <w:rsid w:val="003D58B5"/>
    <w:rsid w:val="003E6FED"/>
    <w:rsid w:val="004041B6"/>
    <w:rsid w:val="004077CC"/>
    <w:rsid w:val="0041431A"/>
    <w:rsid w:val="00421578"/>
    <w:rsid w:val="004269A1"/>
    <w:rsid w:val="00435F2A"/>
    <w:rsid w:val="004421F8"/>
    <w:rsid w:val="00452830"/>
    <w:rsid w:val="004567DD"/>
    <w:rsid w:val="00472E29"/>
    <w:rsid w:val="004863D1"/>
    <w:rsid w:val="00486AA7"/>
    <w:rsid w:val="00497765"/>
    <w:rsid w:val="004D7EF2"/>
    <w:rsid w:val="004F6C42"/>
    <w:rsid w:val="005005DE"/>
    <w:rsid w:val="00513164"/>
    <w:rsid w:val="005201C8"/>
    <w:rsid w:val="00527B72"/>
    <w:rsid w:val="005309D8"/>
    <w:rsid w:val="00530C83"/>
    <w:rsid w:val="00530D7B"/>
    <w:rsid w:val="005355E7"/>
    <w:rsid w:val="005426F3"/>
    <w:rsid w:val="00551625"/>
    <w:rsid w:val="0056349F"/>
    <w:rsid w:val="005723DB"/>
    <w:rsid w:val="005E7E9D"/>
    <w:rsid w:val="005F075D"/>
    <w:rsid w:val="00606314"/>
    <w:rsid w:val="00635DE2"/>
    <w:rsid w:val="0064095F"/>
    <w:rsid w:val="00662ED9"/>
    <w:rsid w:val="0068029E"/>
    <w:rsid w:val="00686367"/>
    <w:rsid w:val="006D0439"/>
    <w:rsid w:val="006E4070"/>
    <w:rsid w:val="006E700B"/>
    <w:rsid w:val="0071326B"/>
    <w:rsid w:val="0072574A"/>
    <w:rsid w:val="00742EFC"/>
    <w:rsid w:val="0074456E"/>
    <w:rsid w:val="007524DC"/>
    <w:rsid w:val="00760EE0"/>
    <w:rsid w:val="007672EA"/>
    <w:rsid w:val="00767735"/>
    <w:rsid w:val="00785E04"/>
    <w:rsid w:val="007871E7"/>
    <w:rsid w:val="007A63B6"/>
    <w:rsid w:val="007B1F04"/>
    <w:rsid w:val="007B373D"/>
    <w:rsid w:val="007C4BE5"/>
    <w:rsid w:val="007D5DC3"/>
    <w:rsid w:val="007E2923"/>
    <w:rsid w:val="007F00D4"/>
    <w:rsid w:val="007F65E6"/>
    <w:rsid w:val="00821596"/>
    <w:rsid w:val="00884B8C"/>
    <w:rsid w:val="008A7AA0"/>
    <w:rsid w:val="008C14F0"/>
    <w:rsid w:val="008C2385"/>
    <w:rsid w:val="008C2A29"/>
    <w:rsid w:val="008C3632"/>
    <w:rsid w:val="008D7316"/>
    <w:rsid w:val="00901D91"/>
    <w:rsid w:val="009062C0"/>
    <w:rsid w:val="0091039B"/>
    <w:rsid w:val="00930E71"/>
    <w:rsid w:val="0093534F"/>
    <w:rsid w:val="0094533D"/>
    <w:rsid w:val="009612C8"/>
    <w:rsid w:val="00961C65"/>
    <w:rsid w:val="00977113"/>
    <w:rsid w:val="00981908"/>
    <w:rsid w:val="009822F7"/>
    <w:rsid w:val="0099220A"/>
    <w:rsid w:val="009973AF"/>
    <w:rsid w:val="009A34F2"/>
    <w:rsid w:val="009F60E4"/>
    <w:rsid w:val="00A1696C"/>
    <w:rsid w:val="00A22EDB"/>
    <w:rsid w:val="00A37967"/>
    <w:rsid w:val="00A4251E"/>
    <w:rsid w:val="00A42AEC"/>
    <w:rsid w:val="00A47F2A"/>
    <w:rsid w:val="00A56273"/>
    <w:rsid w:val="00A605FD"/>
    <w:rsid w:val="00A76E67"/>
    <w:rsid w:val="00A909C0"/>
    <w:rsid w:val="00AB1E6D"/>
    <w:rsid w:val="00AE6D74"/>
    <w:rsid w:val="00AF15C5"/>
    <w:rsid w:val="00AF297E"/>
    <w:rsid w:val="00AF2B05"/>
    <w:rsid w:val="00AF5483"/>
    <w:rsid w:val="00B02FB8"/>
    <w:rsid w:val="00B167C1"/>
    <w:rsid w:val="00B17A8A"/>
    <w:rsid w:val="00B26A5E"/>
    <w:rsid w:val="00B30300"/>
    <w:rsid w:val="00B309F9"/>
    <w:rsid w:val="00B3591F"/>
    <w:rsid w:val="00B4227D"/>
    <w:rsid w:val="00B6004A"/>
    <w:rsid w:val="00B75539"/>
    <w:rsid w:val="00B82149"/>
    <w:rsid w:val="00BD6FF4"/>
    <w:rsid w:val="00C17A77"/>
    <w:rsid w:val="00C21345"/>
    <w:rsid w:val="00C509CD"/>
    <w:rsid w:val="00C57A3A"/>
    <w:rsid w:val="00C71517"/>
    <w:rsid w:val="00C86B82"/>
    <w:rsid w:val="00C97645"/>
    <w:rsid w:val="00CA0B38"/>
    <w:rsid w:val="00CA271C"/>
    <w:rsid w:val="00CB1635"/>
    <w:rsid w:val="00CC240B"/>
    <w:rsid w:val="00CC344C"/>
    <w:rsid w:val="00CC6ECD"/>
    <w:rsid w:val="00CC71B3"/>
    <w:rsid w:val="00CD4DA0"/>
    <w:rsid w:val="00CD5743"/>
    <w:rsid w:val="00CD6F42"/>
    <w:rsid w:val="00CE3AFF"/>
    <w:rsid w:val="00D013E6"/>
    <w:rsid w:val="00D07DE3"/>
    <w:rsid w:val="00D1098A"/>
    <w:rsid w:val="00D32DEB"/>
    <w:rsid w:val="00D423FA"/>
    <w:rsid w:val="00D432D3"/>
    <w:rsid w:val="00D46395"/>
    <w:rsid w:val="00D51794"/>
    <w:rsid w:val="00D57D90"/>
    <w:rsid w:val="00D61399"/>
    <w:rsid w:val="00D661E1"/>
    <w:rsid w:val="00D82EA4"/>
    <w:rsid w:val="00D86961"/>
    <w:rsid w:val="00DC25D2"/>
    <w:rsid w:val="00DD3AEC"/>
    <w:rsid w:val="00DD7A02"/>
    <w:rsid w:val="00DE53F7"/>
    <w:rsid w:val="00E04956"/>
    <w:rsid w:val="00E14138"/>
    <w:rsid w:val="00E1674F"/>
    <w:rsid w:val="00E168F5"/>
    <w:rsid w:val="00E21511"/>
    <w:rsid w:val="00E36A90"/>
    <w:rsid w:val="00E5498F"/>
    <w:rsid w:val="00E601C2"/>
    <w:rsid w:val="00E6673E"/>
    <w:rsid w:val="00E67D90"/>
    <w:rsid w:val="00E8496B"/>
    <w:rsid w:val="00E85374"/>
    <w:rsid w:val="00E85B9A"/>
    <w:rsid w:val="00E90230"/>
    <w:rsid w:val="00E91988"/>
    <w:rsid w:val="00E91AD7"/>
    <w:rsid w:val="00EA1CB7"/>
    <w:rsid w:val="00EC2721"/>
    <w:rsid w:val="00ED3E8E"/>
    <w:rsid w:val="00ED58F4"/>
    <w:rsid w:val="00EE4002"/>
    <w:rsid w:val="00F00BCA"/>
    <w:rsid w:val="00F14E64"/>
    <w:rsid w:val="00F25FB8"/>
    <w:rsid w:val="00F37E61"/>
    <w:rsid w:val="00F4585B"/>
    <w:rsid w:val="00F4676B"/>
    <w:rsid w:val="00F65450"/>
    <w:rsid w:val="00F66AAF"/>
    <w:rsid w:val="00F930ED"/>
    <w:rsid w:val="00FA00B3"/>
    <w:rsid w:val="00FA5851"/>
    <w:rsid w:val="00FA7A47"/>
    <w:rsid w:val="00FB007F"/>
    <w:rsid w:val="00FB2522"/>
    <w:rsid w:val="00FB42E8"/>
    <w:rsid w:val="00FB79BE"/>
    <w:rsid w:val="00FC26E4"/>
    <w:rsid w:val="00FC65F9"/>
    <w:rsid w:val="00FD588F"/>
    <w:rsid w:val="00FE0652"/>
    <w:rsid w:val="00FF0A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73438"/>
  <w15:chartTrackingRefBased/>
  <w15:docId w15:val="{348E93D7-97E0-420E-9875-0D2BD1D8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7E61"/>
    <w:pPr>
      <w:spacing w:after="0" w:line="240" w:lineRule="auto"/>
      <w:jc w:val="both"/>
    </w:pPr>
    <w:rPr>
      <w:rFonts w:ascii="Times New Roman" w:hAnsi="Times New Roman"/>
    </w:rPr>
  </w:style>
  <w:style w:type="paragraph" w:styleId="Titolo2">
    <w:name w:val="heading 2"/>
    <w:basedOn w:val="Normale"/>
    <w:next w:val="Normale"/>
    <w:link w:val="Titolo2Carattere"/>
    <w:uiPriority w:val="9"/>
    <w:unhideWhenUsed/>
    <w:qFormat/>
    <w:rsid w:val="00F37E61"/>
    <w:pPr>
      <w:keepNext/>
      <w:keepLines/>
      <w:spacing w:before="480" w:after="240"/>
      <w:jc w:val="center"/>
      <w:outlineLvl w:val="1"/>
    </w:pPr>
    <w:rPr>
      <w:rFonts w:eastAsiaTheme="majorEastAsia" w:cstheme="majorBidi"/>
      <w:b/>
      <w: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F37E61"/>
    <w:rPr>
      <w:rFonts w:ascii="Times New Roman" w:eastAsiaTheme="majorEastAsia" w:hAnsi="Times New Roman" w:cstheme="majorBidi"/>
      <w:b/>
      <w:i/>
      <w:szCs w:val="26"/>
    </w:rPr>
  </w:style>
  <w:style w:type="paragraph" w:styleId="Paragrafoelenco">
    <w:name w:val="List Paragraph"/>
    <w:aliases w:val="Trattino,Dot pt,F5 List Paragraph,List Paragraph1,No Spacing1,List Paragraph Char Char Char,Indicator Text,Numbered Para 1,Colorful List - Accent 11,Bullet 1,Bullet Points,Párrafo de lista,MAIN CONTENT,Recommendation,List Paragraph2,3,2"/>
    <w:basedOn w:val="Normale"/>
    <w:link w:val="ParagrafoelencoCarattere"/>
    <w:uiPriority w:val="34"/>
    <w:qFormat/>
    <w:rsid w:val="00F37E61"/>
    <w:pPr>
      <w:spacing w:after="200" w:line="276" w:lineRule="auto"/>
      <w:ind w:left="720"/>
      <w:contextualSpacing/>
    </w:pPr>
  </w:style>
  <w:style w:type="character" w:customStyle="1" w:styleId="ParagrafoelencoCarattere">
    <w:name w:val="Paragrafo elenco Carattere"/>
    <w:aliases w:val="Trattino Carattere,Dot pt Carattere,F5 List Paragraph Carattere,List Paragraph1 Carattere,No Spacing1 Carattere,List Paragraph Char Char Char Carattere,Indicator Text Carattere,Numbered Para 1 Carattere,Bullet 1 Carattere"/>
    <w:basedOn w:val="Carpredefinitoparagrafo"/>
    <w:link w:val="Paragrafoelenco"/>
    <w:uiPriority w:val="34"/>
    <w:qFormat/>
    <w:locked/>
    <w:rsid w:val="00F37E61"/>
    <w:rPr>
      <w:rFonts w:ascii="Times New Roman" w:hAnsi="Times New Roman"/>
    </w:rPr>
  </w:style>
  <w:style w:type="character" w:customStyle="1" w:styleId="linkneltesto">
    <w:name w:val="link_nel_testo"/>
    <w:basedOn w:val="Carpredefinitoparagrafo"/>
    <w:rsid w:val="00F37E61"/>
  </w:style>
  <w:style w:type="paragraph" w:styleId="NormaleWeb">
    <w:name w:val="Normal (Web)"/>
    <w:basedOn w:val="Normale"/>
    <w:uiPriority w:val="99"/>
    <w:unhideWhenUsed/>
    <w:rsid w:val="0094533D"/>
    <w:pPr>
      <w:spacing w:before="100" w:beforeAutospacing="1" w:after="100" w:afterAutospacing="1"/>
      <w:jc w:val="left"/>
    </w:pPr>
    <w:rPr>
      <w:rFonts w:ascii="Calibri" w:hAnsi="Calibri" w:cs="Calibri"/>
      <w:lang w:eastAsia="it-IT"/>
    </w:rPr>
  </w:style>
  <w:style w:type="paragraph" w:customStyle="1" w:styleId="paragraph">
    <w:name w:val="paragraph"/>
    <w:basedOn w:val="Normale"/>
    <w:rsid w:val="00527B72"/>
    <w:pPr>
      <w:spacing w:before="100" w:beforeAutospacing="1" w:after="100" w:afterAutospacing="1"/>
      <w:jc w:val="left"/>
    </w:pPr>
    <w:rPr>
      <w:rFonts w:eastAsia="Times New Roman" w:cs="Times New Roman"/>
      <w:sz w:val="24"/>
      <w:szCs w:val="24"/>
      <w:lang w:eastAsia="it-IT"/>
    </w:rPr>
  </w:style>
  <w:style w:type="character" w:customStyle="1" w:styleId="normaltextrun">
    <w:name w:val="normaltextrun"/>
    <w:basedOn w:val="Carpredefinitoparagrafo"/>
    <w:rsid w:val="00527B72"/>
  </w:style>
  <w:style w:type="paragraph" w:styleId="Intestazione">
    <w:name w:val="header"/>
    <w:basedOn w:val="Normale"/>
    <w:link w:val="IntestazioneCarattere"/>
    <w:uiPriority w:val="99"/>
    <w:unhideWhenUsed/>
    <w:rsid w:val="00E36A90"/>
    <w:pPr>
      <w:tabs>
        <w:tab w:val="center" w:pos="4819"/>
        <w:tab w:val="right" w:pos="9638"/>
      </w:tabs>
    </w:pPr>
  </w:style>
  <w:style w:type="character" w:customStyle="1" w:styleId="IntestazioneCarattere">
    <w:name w:val="Intestazione Carattere"/>
    <w:basedOn w:val="Carpredefinitoparagrafo"/>
    <w:link w:val="Intestazione"/>
    <w:uiPriority w:val="99"/>
    <w:rsid w:val="00E36A90"/>
    <w:rPr>
      <w:rFonts w:ascii="Times New Roman" w:hAnsi="Times New Roman"/>
    </w:rPr>
  </w:style>
  <w:style w:type="paragraph" w:styleId="Pidipagina">
    <w:name w:val="footer"/>
    <w:basedOn w:val="Normale"/>
    <w:link w:val="PidipaginaCarattere"/>
    <w:uiPriority w:val="99"/>
    <w:unhideWhenUsed/>
    <w:rsid w:val="00E36A90"/>
    <w:pPr>
      <w:tabs>
        <w:tab w:val="center" w:pos="4819"/>
        <w:tab w:val="right" w:pos="9638"/>
      </w:tabs>
    </w:pPr>
  </w:style>
  <w:style w:type="character" w:customStyle="1" w:styleId="PidipaginaCarattere">
    <w:name w:val="Piè di pagina Carattere"/>
    <w:basedOn w:val="Carpredefinitoparagrafo"/>
    <w:link w:val="Pidipagina"/>
    <w:uiPriority w:val="99"/>
    <w:rsid w:val="00E36A90"/>
    <w:rPr>
      <w:rFonts w:ascii="Times New Roman" w:hAnsi="Times New Roman"/>
    </w:rPr>
  </w:style>
  <w:style w:type="paragraph" w:customStyle="1" w:styleId="li2">
    <w:name w:val="li2"/>
    <w:basedOn w:val="Normale"/>
    <w:rsid w:val="00123399"/>
    <w:pPr>
      <w:spacing w:before="100" w:beforeAutospacing="1" w:after="100" w:afterAutospacing="1" w:line="252" w:lineRule="auto"/>
    </w:pPr>
    <w:rPr>
      <w:rFonts w:cs="Times New Roman"/>
    </w:rPr>
  </w:style>
  <w:style w:type="character" w:customStyle="1" w:styleId="s2">
    <w:name w:val="s2"/>
    <w:basedOn w:val="Carpredefinitoparagrafo"/>
    <w:rsid w:val="00123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4838">
      <w:bodyDiv w:val="1"/>
      <w:marLeft w:val="0"/>
      <w:marRight w:val="0"/>
      <w:marTop w:val="0"/>
      <w:marBottom w:val="0"/>
      <w:divBdr>
        <w:top w:val="none" w:sz="0" w:space="0" w:color="auto"/>
        <w:left w:val="none" w:sz="0" w:space="0" w:color="auto"/>
        <w:bottom w:val="none" w:sz="0" w:space="0" w:color="auto"/>
        <w:right w:val="none" w:sz="0" w:space="0" w:color="auto"/>
      </w:divBdr>
    </w:div>
    <w:div w:id="128523629">
      <w:bodyDiv w:val="1"/>
      <w:marLeft w:val="0"/>
      <w:marRight w:val="0"/>
      <w:marTop w:val="0"/>
      <w:marBottom w:val="0"/>
      <w:divBdr>
        <w:top w:val="none" w:sz="0" w:space="0" w:color="auto"/>
        <w:left w:val="none" w:sz="0" w:space="0" w:color="auto"/>
        <w:bottom w:val="none" w:sz="0" w:space="0" w:color="auto"/>
        <w:right w:val="none" w:sz="0" w:space="0" w:color="auto"/>
      </w:divBdr>
    </w:div>
    <w:div w:id="442573921">
      <w:bodyDiv w:val="1"/>
      <w:marLeft w:val="0"/>
      <w:marRight w:val="0"/>
      <w:marTop w:val="0"/>
      <w:marBottom w:val="0"/>
      <w:divBdr>
        <w:top w:val="none" w:sz="0" w:space="0" w:color="auto"/>
        <w:left w:val="none" w:sz="0" w:space="0" w:color="auto"/>
        <w:bottom w:val="none" w:sz="0" w:space="0" w:color="auto"/>
        <w:right w:val="none" w:sz="0" w:space="0" w:color="auto"/>
      </w:divBdr>
    </w:div>
    <w:div w:id="834763620">
      <w:bodyDiv w:val="1"/>
      <w:marLeft w:val="0"/>
      <w:marRight w:val="0"/>
      <w:marTop w:val="0"/>
      <w:marBottom w:val="0"/>
      <w:divBdr>
        <w:top w:val="none" w:sz="0" w:space="0" w:color="auto"/>
        <w:left w:val="none" w:sz="0" w:space="0" w:color="auto"/>
        <w:bottom w:val="none" w:sz="0" w:space="0" w:color="auto"/>
        <w:right w:val="none" w:sz="0" w:space="0" w:color="auto"/>
      </w:divBdr>
    </w:div>
    <w:div w:id="883635167">
      <w:bodyDiv w:val="1"/>
      <w:marLeft w:val="0"/>
      <w:marRight w:val="0"/>
      <w:marTop w:val="0"/>
      <w:marBottom w:val="0"/>
      <w:divBdr>
        <w:top w:val="none" w:sz="0" w:space="0" w:color="auto"/>
        <w:left w:val="none" w:sz="0" w:space="0" w:color="auto"/>
        <w:bottom w:val="none" w:sz="0" w:space="0" w:color="auto"/>
        <w:right w:val="none" w:sz="0" w:space="0" w:color="auto"/>
      </w:divBdr>
    </w:div>
    <w:div w:id="970283130">
      <w:bodyDiv w:val="1"/>
      <w:marLeft w:val="0"/>
      <w:marRight w:val="0"/>
      <w:marTop w:val="0"/>
      <w:marBottom w:val="0"/>
      <w:divBdr>
        <w:top w:val="none" w:sz="0" w:space="0" w:color="auto"/>
        <w:left w:val="none" w:sz="0" w:space="0" w:color="auto"/>
        <w:bottom w:val="none" w:sz="0" w:space="0" w:color="auto"/>
        <w:right w:val="none" w:sz="0" w:space="0" w:color="auto"/>
      </w:divBdr>
    </w:div>
    <w:div w:id="1543404464">
      <w:bodyDiv w:val="1"/>
      <w:marLeft w:val="0"/>
      <w:marRight w:val="0"/>
      <w:marTop w:val="0"/>
      <w:marBottom w:val="0"/>
      <w:divBdr>
        <w:top w:val="none" w:sz="0" w:space="0" w:color="auto"/>
        <w:left w:val="none" w:sz="0" w:space="0" w:color="auto"/>
        <w:bottom w:val="none" w:sz="0" w:space="0" w:color="auto"/>
        <w:right w:val="none" w:sz="0" w:space="0" w:color="auto"/>
      </w:divBdr>
    </w:div>
    <w:div w:id="1816527601">
      <w:bodyDiv w:val="1"/>
      <w:marLeft w:val="0"/>
      <w:marRight w:val="0"/>
      <w:marTop w:val="0"/>
      <w:marBottom w:val="0"/>
      <w:divBdr>
        <w:top w:val="none" w:sz="0" w:space="0" w:color="auto"/>
        <w:left w:val="none" w:sz="0" w:space="0" w:color="auto"/>
        <w:bottom w:val="none" w:sz="0" w:space="0" w:color="auto"/>
        <w:right w:val="none" w:sz="0" w:space="0" w:color="auto"/>
      </w:divBdr>
    </w:div>
    <w:div w:id="1951473848">
      <w:bodyDiv w:val="1"/>
      <w:marLeft w:val="0"/>
      <w:marRight w:val="0"/>
      <w:marTop w:val="0"/>
      <w:marBottom w:val="0"/>
      <w:divBdr>
        <w:top w:val="none" w:sz="0" w:space="0" w:color="auto"/>
        <w:left w:val="none" w:sz="0" w:space="0" w:color="auto"/>
        <w:bottom w:val="none" w:sz="0" w:space="0" w:color="auto"/>
        <w:right w:val="none" w:sz="0" w:space="0" w:color="auto"/>
      </w:divBdr>
    </w:div>
    <w:div w:id="209080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3939</Words>
  <Characters>22455</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Mariella Sorrenti</dc:creator>
  <cp:keywords/>
  <dc:description/>
  <cp:lastModifiedBy>Mariella Sorrenti</cp:lastModifiedBy>
  <cp:revision>3</cp:revision>
  <cp:lastPrinted>2022-05-06T09:05:00Z</cp:lastPrinted>
  <dcterms:created xsi:type="dcterms:W3CDTF">2022-05-20T17:01:00Z</dcterms:created>
  <dcterms:modified xsi:type="dcterms:W3CDTF">2022-05-20T17:20:00Z</dcterms:modified>
</cp:coreProperties>
</file>